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A5" w:rsidRDefault="00FE27A5" w:rsidP="00FE27A5">
      <w:pPr>
        <w:pStyle w:val="a3"/>
        <w:jc w:val="left"/>
      </w:pPr>
      <w:bookmarkStart w:id="0" w:name="_GoBack"/>
      <w:bookmarkEnd w:id="0"/>
      <w:r>
        <w:rPr>
          <w:rFonts w:hint="eastAsia"/>
        </w:rPr>
        <w:t>附件：采购需求和评分标准</w:t>
      </w:r>
    </w:p>
    <w:p w:rsidR="00FE27A5" w:rsidRPr="00B638BE" w:rsidRDefault="00FE27A5" w:rsidP="00FE27A5">
      <w:pPr>
        <w:rPr>
          <w:b/>
          <w:bCs/>
          <w:sz w:val="24"/>
          <w:szCs w:val="24"/>
        </w:rPr>
      </w:pPr>
      <w:r w:rsidRPr="00B638BE">
        <w:rPr>
          <w:rFonts w:hint="eastAsia"/>
          <w:b/>
          <w:bCs/>
          <w:sz w:val="24"/>
          <w:szCs w:val="24"/>
        </w:rPr>
        <w:t>一、</w:t>
      </w:r>
      <w:r>
        <w:rPr>
          <w:rFonts w:hint="eastAsia"/>
          <w:b/>
          <w:bCs/>
          <w:sz w:val="24"/>
          <w:szCs w:val="24"/>
        </w:rPr>
        <w:t>功能改造要求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FE27A5" w:rsidTr="00324DB2">
        <w:tc>
          <w:tcPr>
            <w:tcW w:w="2263" w:type="dxa"/>
            <w:vMerge w:val="restart"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  <w:r w:rsidRPr="00BA7353">
              <w:rPr>
                <w:rFonts w:hint="eastAsia"/>
                <w:sz w:val="24"/>
                <w:szCs w:val="24"/>
              </w:rPr>
              <w:t>预约挂号</w:t>
            </w:r>
            <w:r>
              <w:rPr>
                <w:rFonts w:hint="eastAsia"/>
                <w:sz w:val="24"/>
                <w:szCs w:val="24"/>
              </w:rPr>
              <w:t>功能改造</w:t>
            </w:r>
          </w:p>
        </w:tc>
        <w:tc>
          <w:tcPr>
            <w:tcW w:w="6379" w:type="dxa"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  <w:r w:rsidRPr="00BA7353">
              <w:rPr>
                <w:rFonts w:hint="eastAsia"/>
                <w:sz w:val="24"/>
                <w:szCs w:val="24"/>
              </w:rPr>
              <w:t>延长放号周期</w:t>
            </w:r>
            <w:r>
              <w:rPr>
                <w:rFonts w:hint="eastAsia"/>
                <w:sz w:val="24"/>
                <w:szCs w:val="24"/>
              </w:rPr>
              <w:t>，优化放号</w:t>
            </w:r>
            <w:r w:rsidR="00324DB2">
              <w:rPr>
                <w:rFonts w:hint="eastAsia"/>
                <w:sz w:val="24"/>
                <w:szCs w:val="24"/>
              </w:rPr>
              <w:t>时段</w:t>
            </w:r>
            <w:proofErr w:type="gramStart"/>
            <w:r w:rsidR="00324DB2">
              <w:rPr>
                <w:rFonts w:hint="eastAsia"/>
                <w:sz w:val="24"/>
                <w:szCs w:val="24"/>
              </w:rPr>
              <w:t>前号源</w:t>
            </w:r>
            <w:r>
              <w:rPr>
                <w:rFonts w:hint="eastAsia"/>
                <w:sz w:val="24"/>
                <w:szCs w:val="24"/>
              </w:rPr>
              <w:t>展示</w:t>
            </w:r>
            <w:proofErr w:type="gramEnd"/>
          </w:p>
        </w:tc>
      </w:tr>
      <w:tr w:rsidR="00FE27A5" w:rsidTr="00324DB2">
        <w:tc>
          <w:tcPr>
            <w:tcW w:w="2263" w:type="dxa"/>
            <w:vMerge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增加</w:t>
            </w:r>
            <w:r w:rsidRPr="00BA7353">
              <w:rPr>
                <w:rFonts w:hint="eastAsia"/>
                <w:sz w:val="24"/>
                <w:szCs w:val="24"/>
              </w:rPr>
              <w:t>挂号</w:t>
            </w:r>
            <w:r w:rsidR="00324DB2">
              <w:rPr>
                <w:rFonts w:hint="eastAsia"/>
                <w:sz w:val="24"/>
                <w:szCs w:val="24"/>
              </w:rPr>
              <w:t>限制及</w:t>
            </w:r>
            <w:r w:rsidRPr="00BA7353">
              <w:rPr>
                <w:rFonts w:hint="eastAsia"/>
                <w:sz w:val="24"/>
                <w:szCs w:val="24"/>
              </w:rPr>
              <w:t>提示信息</w:t>
            </w:r>
            <w:r w:rsidR="00324DB2">
              <w:rPr>
                <w:rFonts w:hint="eastAsia"/>
                <w:sz w:val="24"/>
                <w:szCs w:val="24"/>
              </w:rPr>
              <w:t>，如科室对患者年龄的限制、就诊提示等</w:t>
            </w:r>
          </w:p>
        </w:tc>
      </w:tr>
      <w:tr w:rsidR="00FE27A5" w:rsidTr="00324DB2">
        <w:tc>
          <w:tcPr>
            <w:tcW w:w="2263" w:type="dxa"/>
            <w:vMerge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  <w:r w:rsidRPr="00BA7353">
              <w:rPr>
                <w:rFonts w:hint="eastAsia"/>
                <w:sz w:val="24"/>
                <w:szCs w:val="24"/>
              </w:rPr>
              <w:t>调整</w:t>
            </w:r>
            <w:r>
              <w:rPr>
                <w:rFonts w:hint="eastAsia"/>
                <w:sz w:val="24"/>
                <w:szCs w:val="24"/>
              </w:rPr>
              <w:t>挂号数量</w:t>
            </w:r>
            <w:r w:rsidRPr="00BA7353">
              <w:rPr>
                <w:rFonts w:hint="eastAsia"/>
                <w:sz w:val="24"/>
                <w:szCs w:val="24"/>
              </w:rPr>
              <w:t>限制</w:t>
            </w:r>
            <w:r w:rsidR="00324DB2">
              <w:rPr>
                <w:rFonts w:hint="eastAsia"/>
                <w:sz w:val="24"/>
                <w:szCs w:val="24"/>
              </w:rPr>
              <w:t>，适应放号周期的延长。</w:t>
            </w:r>
          </w:p>
        </w:tc>
      </w:tr>
      <w:tr w:rsidR="00FE27A5" w:rsidTr="00324DB2">
        <w:tc>
          <w:tcPr>
            <w:tcW w:w="2263" w:type="dxa"/>
            <w:vMerge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  <w:r w:rsidRPr="00BA7353">
              <w:rPr>
                <w:rFonts w:hint="eastAsia"/>
                <w:sz w:val="24"/>
                <w:szCs w:val="24"/>
              </w:rPr>
              <w:t>优化排班</w:t>
            </w:r>
            <w:r w:rsidR="00877DD7">
              <w:rPr>
                <w:rFonts w:hint="eastAsia"/>
                <w:sz w:val="24"/>
                <w:szCs w:val="24"/>
              </w:rPr>
              <w:t>显示，</w:t>
            </w:r>
            <w:r w:rsidR="00324DB2">
              <w:rPr>
                <w:rFonts w:hint="eastAsia"/>
                <w:sz w:val="24"/>
                <w:szCs w:val="24"/>
              </w:rPr>
              <w:t>清晰展示</w:t>
            </w:r>
            <w:r w:rsidR="00877DD7">
              <w:rPr>
                <w:rFonts w:hint="eastAsia"/>
                <w:sz w:val="24"/>
                <w:szCs w:val="24"/>
              </w:rPr>
              <w:t>出诊医生</w:t>
            </w:r>
            <w:proofErr w:type="gramStart"/>
            <w:r w:rsidR="00877DD7">
              <w:rPr>
                <w:rFonts w:hint="eastAsia"/>
                <w:sz w:val="24"/>
                <w:szCs w:val="24"/>
              </w:rPr>
              <w:t>和号源剩余</w:t>
            </w:r>
            <w:proofErr w:type="gramEnd"/>
            <w:r w:rsidR="00877DD7">
              <w:rPr>
                <w:rFonts w:hint="eastAsia"/>
                <w:sz w:val="24"/>
                <w:szCs w:val="24"/>
              </w:rPr>
              <w:t>情况</w:t>
            </w:r>
            <w:r w:rsidR="00324DB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E27A5" w:rsidTr="00324DB2">
        <w:tc>
          <w:tcPr>
            <w:tcW w:w="2263" w:type="dxa"/>
            <w:vMerge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  <w:r w:rsidRPr="00BA7353">
              <w:rPr>
                <w:rFonts w:hint="eastAsia"/>
                <w:sz w:val="24"/>
                <w:szCs w:val="24"/>
              </w:rPr>
              <w:t>区分</w:t>
            </w:r>
            <w:r w:rsidR="00324DB2">
              <w:rPr>
                <w:rFonts w:hint="eastAsia"/>
                <w:sz w:val="24"/>
                <w:szCs w:val="24"/>
              </w:rPr>
              <w:t>号源状态，方便患者就医，如有号、无号、约满</w:t>
            </w:r>
            <w:r w:rsidR="0035542E">
              <w:rPr>
                <w:rFonts w:hint="eastAsia"/>
                <w:sz w:val="24"/>
                <w:szCs w:val="24"/>
              </w:rPr>
              <w:t>等</w:t>
            </w:r>
            <w:r w:rsidR="00324DB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E27A5" w:rsidTr="00324DB2">
        <w:tc>
          <w:tcPr>
            <w:tcW w:w="2263" w:type="dxa"/>
            <w:vMerge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  <w:r w:rsidRPr="00BA7353">
              <w:rPr>
                <w:rFonts w:hint="eastAsia"/>
                <w:sz w:val="24"/>
                <w:szCs w:val="24"/>
              </w:rPr>
              <w:t>增加晚</w:t>
            </w:r>
            <w:r>
              <w:rPr>
                <w:rFonts w:hint="eastAsia"/>
                <w:sz w:val="24"/>
                <w:szCs w:val="24"/>
              </w:rPr>
              <w:t>间</w:t>
            </w:r>
            <w:r w:rsidRPr="00BA7353">
              <w:rPr>
                <w:rFonts w:hint="eastAsia"/>
                <w:sz w:val="24"/>
                <w:szCs w:val="24"/>
              </w:rPr>
              <w:t>就诊单元</w:t>
            </w:r>
            <w:r w:rsidR="00463043">
              <w:rPr>
                <w:rFonts w:hint="eastAsia"/>
                <w:sz w:val="24"/>
                <w:szCs w:val="24"/>
              </w:rPr>
              <w:t>，实现晚间门诊预约挂号</w:t>
            </w:r>
          </w:p>
        </w:tc>
      </w:tr>
      <w:tr w:rsidR="00FE27A5" w:rsidTr="00324DB2">
        <w:tc>
          <w:tcPr>
            <w:tcW w:w="2263" w:type="dxa"/>
            <w:vMerge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27A5" w:rsidRPr="00BA7353" w:rsidRDefault="00463043" w:rsidP="00D16B99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检测号源状态</w:t>
            </w:r>
            <w:proofErr w:type="gramEnd"/>
            <w:r>
              <w:rPr>
                <w:rFonts w:hint="eastAsia"/>
                <w:sz w:val="24"/>
                <w:szCs w:val="24"/>
              </w:rPr>
              <w:t>，</w:t>
            </w:r>
            <w:r w:rsidR="00877DD7">
              <w:rPr>
                <w:rFonts w:hint="eastAsia"/>
                <w:sz w:val="24"/>
                <w:szCs w:val="24"/>
              </w:rPr>
              <w:t>取消</w:t>
            </w:r>
            <w:r w:rsidR="00FE27A5" w:rsidRPr="00BA7353">
              <w:rPr>
                <w:rFonts w:hint="eastAsia"/>
                <w:sz w:val="24"/>
                <w:szCs w:val="24"/>
              </w:rPr>
              <w:t>停</w:t>
            </w:r>
            <w:proofErr w:type="gramStart"/>
            <w:r w:rsidR="00FE27A5" w:rsidRPr="00BA7353">
              <w:rPr>
                <w:rFonts w:hint="eastAsia"/>
                <w:sz w:val="24"/>
                <w:szCs w:val="24"/>
              </w:rPr>
              <w:t>诊号源</w:t>
            </w:r>
            <w:r w:rsidR="00FE27A5">
              <w:rPr>
                <w:rFonts w:hint="eastAsia"/>
                <w:sz w:val="24"/>
                <w:szCs w:val="24"/>
              </w:rPr>
              <w:t>订单</w:t>
            </w:r>
            <w:proofErr w:type="gramEnd"/>
            <w:r>
              <w:rPr>
                <w:rFonts w:hint="eastAsia"/>
                <w:sz w:val="24"/>
                <w:szCs w:val="24"/>
              </w:rPr>
              <w:t>并给</w:t>
            </w:r>
            <w:r w:rsidR="000F328C">
              <w:rPr>
                <w:rFonts w:hint="eastAsia"/>
                <w:sz w:val="24"/>
                <w:szCs w:val="24"/>
              </w:rPr>
              <w:t>患者发送</w:t>
            </w:r>
            <w:r>
              <w:rPr>
                <w:rFonts w:hint="eastAsia"/>
                <w:sz w:val="24"/>
                <w:szCs w:val="24"/>
              </w:rPr>
              <w:t>提醒信息</w:t>
            </w:r>
          </w:p>
        </w:tc>
      </w:tr>
      <w:tr w:rsidR="00FE27A5" w:rsidTr="00324DB2">
        <w:tc>
          <w:tcPr>
            <w:tcW w:w="2263" w:type="dxa"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  <w:proofErr w:type="gramStart"/>
            <w:r w:rsidRPr="00BA7353">
              <w:rPr>
                <w:rFonts w:hint="eastAsia"/>
                <w:sz w:val="24"/>
                <w:szCs w:val="24"/>
              </w:rPr>
              <w:t>建档绑卡功能</w:t>
            </w:r>
            <w:proofErr w:type="gramEnd"/>
            <w:r w:rsidRPr="00BA7353">
              <w:rPr>
                <w:rFonts w:hint="eastAsia"/>
                <w:sz w:val="24"/>
                <w:szCs w:val="24"/>
              </w:rPr>
              <w:t>改造</w:t>
            </w:r>
          </w:p>
        </w:tc>
        <w:tc>
          <w:tcPr>
            <w:tcW w:w="6379" w:type="dxa"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  <w:r w:rsidRPr="00BA7353">
              <w:rPr>
                <w:rFonts w:hint="eastAsia"/>
                <w:sz w:val="24"/>
                <w:szCs w:val="24"/>
              </w:rPr>
              <w:t>调整</w:t>
            </w:r>
            <w:proofErr w:type="gramStart"/>
            <w:r w:rsidRPr="00BA7353">
              <w:rPr>
                <w:rFonts w:hint="eastAsia"/>
                <w:sz w:val="24"/>
                <w:szCs w:val="24"/>
              </w:rPr>
              <w:t>建档</w:t>
            </w:r>
            <w:r w:rsidR="00877DD7">
              <w:rPr>
                <w:rFonts w:hint="eastAsia"/>
                <w:sz w:val="24"/>
                <w:szCs w:val="24"/>
              </w:rPr>
              <w:t>绑卡</w:t>
            </w:r>
            <w:r w:rsidRPr="00BA7353">
              <w:rPr>
                <w:rFonts w:hint="eastAsia"/>
                <w:sz w:val="24"/>
                <w:szCs w:val="24"/>
              </w:rPr>
              <w:t>功能</w:t>
            </w:r>
            <w:proofErr w:type="gramEnd"/>
            <w:r w:rsidRPr="00BA7353">
              <w:rPr>
                <w:rFonts w:hint="eastAsia"/>
                <w:sz w:val="24"/>
                <w:szCs w:val="24"/>
              </w:rPr>
              <w:t>，</w:t>
            </w:r>
            <w:r w:rsidR="003D010A">
              <w:rPr>
                <w:rFonts w:hint="eastAsia"/>
                <w:sz w:val="24"/>
                <w:szCs w:val="24"/>
              </w:rPr>
              <w:t>遵循简单易用的设计原则，满足</w:t>
            </w:r>
            <w:r w:rsidR="00877DD7">
              <w:rPr>
                <w:rFonts w:hint="eastAsia"/>
                <w:sz w:val="24"/>
                <w:szCs w:val="24"/>
              </w:rPr>
              <w:t>不同人群</w:t>
            </w:r>
            <w:r w:rsidR="003D010A">
              <w:rPr>
                <w:rFonts w:hint="eastAsia"/>
                <w:sz w:val="24"/>
                <w:szCs w:val="24"/>
              </w:rPr>
              <w:t>的</w:t>
            </w:r>
            <w:r w:rsidR="00877DD7">
              <w:rPr>
                <w:rFonts w:hint="eastAsia"/>
                <w:sz w:val="24"/>
                <w:szCs w:val="24"/>
              </w:rPr>
              <w:t>就医需求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E27A5" w:rsidTr="00324DB2">
        <w:tc>
          <w:tcPr>
            <w:tcW w:w="2263" w:type="dxa"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  <w:r w:rsidRPr="00BA7353">
              <w:rPr>
                <w:rFonts w:hint="eastAsia"/>
                <w:sz w:val="24"/>
                <w:szCs w:val="24"/>
              </w:rPr>
              <w:t>支付功能</w:t>
            </w:r>
            <w:r>
              <w:rPr>
                <w:rFonts w:hint="eastAsia"/>
                <w:sz w:val="24"/>
                <w:szCs w:val="24"/>
              </w:rPr>
              <w:t>改造</w:t>
            </w:r>
          </w:p>
        </w:tc>
        <w:tc>
          <w:tcPr>
            <w:tcW w:w="6379" w:type="dxa"/>
          </w:tcPr>
          <w:p w:rsidR="00FE27A5" w:rsidRPr="00BA7353" w:rsidRDefault="00877DD7" w:rsidP="00D16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调整</w:t>
            </w:r>
            <w:r w:rsidR="00167B64">
              <w:rPr>
                <w:rFonts w:hint="eastAsia"/>
                <w:sz w:val="24"/>
                <w:szCs w:val="24"/>
              </w:rPr>
              <w:t>处方费用</w:t>
            </w:r>
            <w:r w:rsidR="00FE27A5" w:rsidRPr="00BA7353">
              <w:rPr>
                <w:rFonts w:hint="eastAsia"/>
                <w:sz w:val="24"/>
                <w:szCs w:val="24"/>
              </w:rPr>
              <w:t>支付</w:t>
            </w:r>
            <w:r w:rsidR="00FE27A5">
              <w:rPr>
                <w:rFonts w:hint="eastAsia"/>
                <w:sz w:val="24"/>
                <w:szCs w:val="24"/>
              </w:rPr>
              <w:t>逻辑，减少单边</w:t>
            </w:r>
            <w:proofErr w:type="gramStart"/>
            <w:r w:rsidR="00FE27A5">
              <w:rPr>
                <w:rFonts w:hint="eastAsia"/>
                <w:sz w:val="24"/>
                <w:szCs w:val="24"/>
              </w:rPr>
              <w:t>账</w:t>
            </w:r>
            <w:proofErr w:type="gramEnd"/>
            <w:r w:rsidR="00FE27A5">
              <w:rPr>
                <w:rFonts w:hint="eastAsia"/>
                <w:sz w:val="24"/>
                <w:szCs w:val="24"/>
              </w:rPr>
              <w:t>异常</w:t>
            </w:r>
            <w:r w:rsidR="00167B64">
              <w:rPr>
                <w:rFonts w:hint="eastAsia"/>
                <w:sz w:val="24"/>
                <w:szCs w:val="24"/>
              </w:rPr>
              <w:t>情况</w:t>
            </w:r>
            <w:r w:rsidR="00FE27A5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E27A5" w:rsidTr="00324DB2">
        <w:tc>
          <w:tcPr>
            <w:tcW w:w="2263" w:type="dxa"/>
          </w:tcPr>
          <w:p w:rsidR="00FE27A5" w:rsidRPr="00BA7353" w:rsidRDefault="00FE27A5" w:rsidP="00D16B99">
            <w:pPr>
              <w:rPr>
                <w:sz w:val="24"/>
                <w:szCs w:val="24"/>
              </w:rPr>
            </w:pPr>
            <w:r w:rsidRPr="00BA7353">
              <w:rPr>
                <w:rFonts w:hint="eastAsia"/>
                <w:sz w:val="24"/>
                <w:szCs w:val="24"/>
              </w:rPr>
              <w:t>查询功能</w:t>
            </w:r>
            <w:r>
              <w:rPr>
                <w:rFonts w:hint="eastAsia"/>
                <w:sz w:val="24"/>
                <w:szCs w:val="24"/>
              </w:rPr>
              <w:t>改造</w:t>
            </w:r>
          </w:p>
        </w:tc>
        <w:tc>
          <w:tcPr>
            <w:tcW w:w="6379" w:type="dxa"/>
          </w:tcPr>
          <w:p w:rsidR="00FE27A5" w:rsidRPr="00BA7353" w:rsidRDefault="00167B64" w:rsidP="00D16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将现有格式化文本报告查询升级为</w:t>
            </w:r>
            <w:proofErr w:type="spellStart"/>
            <w:r w:rsidR="00FE27A5" w:rsidRPr="00BA7353">
              <w:rPr>
                <w:rFonts w:hint="eastAsia"/>
                <w:sz w:val="24"/>
                <w:szCs w:val="24"/>
              </w:rPr>
              <w:t>pdf</w:t>
            </w:r>
            <w:proofErr w:type="spellEnd"/>
            <w:r w:rsidR="00FE27A5" w:rsidRPr="00BA7353">
              <w:rPr>
                <w:rFonts w:hint="eastAsia"/>
                <w:sz w:val="24"/>
                <w:szCs w:val="24"/>
              </w:rPr>
              <w:t>报告查询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</w:tr>
      <w:tr w:rsidR="0055184A" w:rsidTr="00324DB2">
        <w:tc>
          <w:tcPr>
            <w:tcW w:w="2263" w:type="dxa"/>
          </w:tcPr>
          <w:p w:rsidR="0055184A" w:rsidRPr="00BA7353" w:rsidRDefault="0055184A" w:rsidP="0055184A">
            <w:pPr>
              <w:rPr>
                <w:sz w:val="24"/>
                <w:szCs w:val="24"/>
              </w:rPr>
            </w:pPr>
            <w:r w:rsidRPr="00BA7353">
              <w:rPr>
                <w:rFonts w:hint="eastAsia"/>
                <w:sz w:val="24"/>
                <w:szCs w:val="24"/>
              </w:rPr>
              <w:t xml:space="preserve">性能优化 </w:t>
            </w:r>
          </w:p>
        </w:tc>
        <w:tc>
          <w:tcPr>
            <w:tcW w:w="6379" w:type="dxa"/>
          </w:tcPr>
          <w:p w:rsidR="0055184A" w:rsidRPr="00BA7353" w:rsidRDefault="0055184A" w:rsidP="0055184A">
            <w:pPr>
              <w:rPr>
                <w:sz w:val="24"/>
                <w:szCs w:val="24"/>
              </w:rPr>
            </w:pPr>
            <w:r w:rsidRPr="00BA7353">
              <w:rPr>
                <w:rFonts w:hint="eastAsia"/>
                <w:sz w:val="24"/>
                <w:szCs w:val="24"/>
              </w:rPr>
              <w:t>增加</w:t>
            </w:r>
            <w:r>
              <w:rPr>
                <w:rFonts w:hint="eastAsia"/>
                <w:sz w:val="24"/>
                <w:szCs w:val="24"/>
              </w:rPr>
              <w:t>系统负载，扩展系统资源并优化，增加抗压能力和安全稳定性，适应用户访问量的上涨，并降低</w:t>
            </w:r>
            <w:r w:rsidRPr="00BA7353">
              <w:rPr>
                <w:rFonts w:hint="eastAsia"/>
                <w:sz w:val="24"/>
                <w:szCs w:val="24"/>
              </w:rPr>
              <w:t>对院内his端的访问压力，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FE27A5" w:rsidRPr="00B638BE" w:rsidRDefault="00FE27A5" w:rsidP="00FE27A5">
      <w:pPr>
        <w:rPr>
          <w:b/>
          <w:bCs/>
          <w:sz w:val="24"/>
          <w:szCs w:val="24"/>
        </w:rPr>
      </w:pPr>
      <w:r w:rsidRPr="00B638BE">
        <w:rPr>
          <w:rFonts w:hint="eastAsia"/>
          <w:b/>
          <w:bCs/>
          <w:sz w:val="24"/>
          <w:szCs w:val="24"/>
        </w:rPr>
        <w:t>二、服务要求</w:t>
      </w:r>
    </w:p>
    <w:p w:rsidR="00FE27A5" w:rsidRPr="00FD2262" w:rsidRDefault="00FE27A5" w:rsidP="00167B64">
      <w:pPr>
        <w:ind w:firstLineChars="200" w:firstLine="480"/>
        <w:rPr>
          <w:sz w:val="24"/>
          <w:szCs w:val="24"/>
        </w:rPr>
      </w:pPr>
      <w:r w:rsidRPr="00FD2262">
        <w:rPr>
          <w:rFonts w:asciiTheme="minorEastAsia" w:hAnsiTheme="minorEastAsia" w:hint="eastAsia"/>
          <w:sz w:val="24"/>
          <w:szCs w:val="24"/>
        </w:rPr>
        <w:t>▲</w:t>
      </w:r>
      <w:r w:rsidRPr="00FD2262">
        <w:rPr>
          <w:rFonts w:hint="eastAsia"/>
          <w:sz w:val="24"/>
          <w:szCs w:val="24"/>
        </w:rPr>
        <w:t>改造</w:t>
      </w:r>
      <w:r>
        <w:rPr>
          <w:rFonts w:hint="eastAsia"/>
          <w:sz w:val="24"/>
          <w:szCs w:val="24"/>
        </w:rPr>
        <w:t>过程和改造完成上线后</w:t>
      </w:r>
      <w:r w:rsidRPr="00FD2262"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</w:rPr>
        <w:t>得</w:t>
      </w:r>
      <w:proofErr w:type="gramStart"/>
      <w:r w:rsidRPr="00FD2262">
        <w:rPr>
          <w:rFonts w:hint="eastAsia"/>
          <w:sz w:val="24"/>
          <w:szCs w:val="24"/>
        </w:rPr>
        <w:t>影响</w:t>
      </w:r>
      <w:r>
        <w:rPr>
          <w:rFonts w:hint="eastAsia"/>
          <w:sz w:val="24"/>
          <w:szCs w:val="24"/>
        </w:rPr>
        <w:t>微信</w:t>
      </w:r>
      <w:r w:rsidRPr="00FD2262">
        <w:rPr>
          <w:rFonts w:hint="eastAsia"/>
          <w:sz w:val="24"/>
          <w:szCs w:val="24"/>
        </w:rPr>
        <w:t>小</w:t>
      </w:r>
      <w:proofErr w:type="gramEnd"/>
      <w:r w:rsidRPr="00FD2262">
        <w:rPr>
          <w:rFonts w:hint="eastAsia"/>
          <w:sz w:val="24"/>
          <w:szCs w:val="24"/>
        </w:rPr>
        <w:t>程序现有</w:t>
      </w:r>
      <w:r>
        <w:rPr>
          <w:rFonts w:hint="eastAsia"/>
          <w:sz w:val="24"/>
          <w:szCs w:val="24"/>
        </w:rPr>
        <w:t>功能</w:t>
      </w:r>
      <w:r w:rsidRPr="00FD2262">
        <w:rPr>
          <w:rFonts w:hint="eastAsia"/>
          <w:sz w:val="24"/>
          <w:szCs w:val="24"/>
        </w:rPr>
        <w:t>服务运行</w:t>
      </w:r>
      <w:r w:rsidR="0035542E">
        <w:rPr>
          <w:rFonts w:hint="eastAsia"/>
          <w:sz w:val="24"/>
          <w:szCs w:val="24"/>
        </w:rPr>
        <w:t>和注册用户使用</w:t>
      </w:r>
      <w:r w:rsidRPr="00FD2262">
        <w:rPr>
          <w:rFonts w:hint="eastAsia"/>
          <w:sz w:val="24"/>
          <w:szCs w:val="24"/>
        </w:rPr>
        <w:t>，并负责相关功能的运行保障。</w:t>
      </w:r>
    </w:p>
    <w:p w:rsidR="00FE27A5" w:rsidRPr="00B638BE" w:rsidRDefault="00FE27A5" w:rsidP="00FE27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</w:t>
      </w:r>
      <w:r w:rsidRPr="00B638BE"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质量保证</w:t>
      </w:r>
    </w:p>
    <w:p w:rsidR="00FE27A5" w:rsidRPr="00B638BE" w:rsidRDefault="00FE27A5" w:rsidP="00FE27A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厂商对本项目改造功能的质量保证期为1年。</w:t>
      </w:r>
    </w:p>
    <w:p w:rsidR="00FE27A5" w:rsidRPr="00B638BE" w:rsidRDefault="00FE27A5" w:rsidP="00FE27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 w:rsidRPr="00B638BE">
        <w:rPr>
          <w:rFonts w:hint="eastAsia"/>
          <w:b/>
          <w:bCs/>
          <w:sz w:val="24"/>
          <w:szCs w:val="24"/>
        </w:rPr>
        <w:t>、工期要求</w:t>
      </w:r>
    </w:p>
    <w:p w:rsidR="00FE27A5" w:rsidRDefault="00FE27A5" w:rsidP="00FE27A5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Pr="00B638BE">
        <w:rPr>
          <w:rFonts w:hint="eastAsia"/>
          <w:sz w:val="24"/>
          <w:szCs w:val="24"/>
        </w:rPr>
        <w:t>个月内完成改造工作并上线</w:t>
      </w:r>
      <w:r>
        <w:rPr>
          <w:rFonts w:hint="eastAsia"/>
          <w:sz w:val="24"/>
          <w:szCs w:val="24"/>
        </w:rPr>
        <w:t>，上线完成后进行验收</w:t>
      </w:r>
      <w:r w:rsidRPr="00B638BE">
        <w:rPr>
          <w:rFonts w:hint="eastAsia"/>
          <w:sz w:val="24"/>
          <w:szCs w:val="24"/>
        </w:rPr>
        <w:t>。</w:t>
      </w:r>
    </w:p>
    <w:p w:rsidR="00FE27A5" w:rsidRPr="00B638BE" w:rsidRDefault="00FE27A5" w:rsidP="00FE27A5">
      <w:pPr>
        <w:rPr>
          <w:b/>
          <w:bCs/>
          <w:sz w:val="24"/>
          <w:szCs w:val="24"/>
        </w:rPr>
      </w:pPr>
      <w:r w:rsidRPr="00B638BE">
        <w:rPr>
          <w:rFonts w:hint="eastAsia"/>
          <w:b/>
          <w:bCs/>
          <w:sz w:val="24"/>
          <w:szCs w:val="24"/>
        </w:rPr>
        <w:t>五、评分标准</w:t>
      </w:r>
    </w:p>
    <w:tbl>
      <w:tblPr>
        <w:tblW w:w="856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980"/>
        <w:gridCol w:w="5142"/>
      </w:tblGrid>
      <w:tr w:rsidR="00FE27A5" w:rsidRPr="008610A0" w:rsidTr="00D16B99">
        <w:trPr>
          <w:trHeight w:val="331"/>
        </w:trPr>
        <w:tc>
          <w:tcPr>
            <w:tcW w:w="72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内容</w:t>
            </w:r>
          </w:p>
        </w:tc>
        <w:tc>
          <w:tcPr>
            <w:tcW w:w="72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分值</w:t>
            </w:r>
          </w:p>
        </w:tc>
        <w:tc>
          <w:tcPr>
            <w:tcW w:w="198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评分因素分项</w:t>
            </w:r>
          </w:p>
        </w:tc>
        <w:tc>
          <w:tcPr>
            <w:tcW w:w="5142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评分标准</w:t>
            </w:r>
          </w:p>
        </w:tc>
      </w:tr>
      <w:tr w:rsidR="00FE27A5" w:rsidRPr="008610A0" w:rsidTr="00D16B99">
        <w:trPr>
          <w:trHeight w:val="331"/>
        </w:trPr>
        <w:tc>
          <w:tcPr>
            <w:tcW w:w="72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价格部分</w:t>
            </w:r>
          </w:p>
        </w:tc>
        <w:tc>
          <w:tcPr>
            <w:tcW w:w="72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评标价格</w:t>
            </w:r>
            <w:r w:rsidR="001A40BD" w:rsidRPr="000452DA">
              <w:rPr>
                <w:sz w:val="24"/>
                <w:szCs w:val="24"/>
              </w:rPr>
              <w:t>（</w:t>
            </w:r>
            <w:r w:rsidR="001A40BD">
              <w:rPr>
                <w:sz w:val="24"/>
                <w:szCs w:val="24"/>
              </w:rPr>
              <w:t>3</w:t>
            </w:r>
            <w:r w:rsidR="001A40BD" w:rsidRPr="000452DA">
              <w:rPr>
                <w:sz w:val="24"/>
                <w:szCs w:val="24"/>
              </w:rPr>
              <w:t>0分）</w:t>
            </w:r>
          </w:p>
        </w:tc>
        <w:tc>
          <w:tcPr>
            <w:tcW w:w="5142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评标价格分数=（评标基准价/投标报价）×价格权重（30%）×100</w:t>
            </w:r>
          </w:p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备注：实质性响应要求且价格最低的投标报价为评标基准价</w:t>
            </w:r>
          </w:p>
        </w:tc>
      </w:tr>
      <w:tr w:rsidR="00FE27A5" w:rsidRPr="008610A0" w:rsidTr="00D16B99">
        <w:trPr>
          <w:trHeight w:val="496"/>
        </w:trPr>
        <w:tc>
          <w:tcPr>
            <w:tcW w:w="72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商务部分</w:t>
            </w:r>
          </w:p>
        </w:tc>
        <w:tc>
          <w:tcPr>
            <w:tcW w:w="72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  <w:u w:val="single"/>
              </w:rPr>
            </w:pPr>
            <w:r w:rsidRPr="000452DA">
              <w:rPr>
                <w:rFonts w:hint="eastAsia"/>
                <w:sz w:val="24"/>
                <w:szCs w:val="24"/>
              </w:rPr>
              <w:t>近五年同类业绩评价</w:t>
            </w:r>
            <w:r w:rsidRPr="000452DA">
              <w:rPr>
                <w:sz w:val="24"/>
                <w:szCs w:val="24"/>
              </w:rPr>
              <w:t>（10分）</w:t>
            </w:r>
          </w:p>
        </w:tc>
        <w:tc>
          <w:tcPr>
            <w:tcW w:w="5142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rFonts w:hint="eastAsia"/>
                <w:sz w:val="24"/>
                <w:szCs w:val="24"/>
              </w:rPr>
              <w:t>医院</w:t>
            </w:r>
            <w:proofErr w:type="gramStart"/>
            <w:r w:rsidRPr="000452DA">
              <w:rPr>
                <w:rFonts w:hint="eastAsia"/>
                <w:sz w:val="24"/>
                <w:szCs w:val="24"/>
              </w:rPr>
              <w:t>同类微信项目</w:t>
            </w:r>
            <w:proofErr w:type="gramEnd"/>
            <w:r w:rsidRPr="000452DA">
              <w:rPr>
                <w:sz w:val="24"/>
                <w:szCs w:val="24"/>
              </w:rPr>
              <w:t>近</w:t>
            </w:r>
            <w:r w:rsidRPr="000452DA">
              <w:rPr>
                <w:rFonts w:hint="eastAsia"/>
                <w:sz w:val="24"/>
                <w:szCs w:val="24"/>
              </w:rPr>
              <w:t>五</w:t>
            </w:r>
            <w:r w:rsidRPr="000452DA">
              <w:rPr>
                <w:sz w:val="24"/>
                <w:szCs w:val="24"/>
              </w:rPr>
              <w:t>年</w:t>
            </w:r>
            <w:r w:rsidRPr="000452DA">
              <w:rPr>
                <w:rFonts w:hint="eastAsia"/>
                <w:sz w:val="24"/>
                <w:szCs w:val="24"/>
              </w:rPr>
              <w:t>业绩</w:t>
            </w:r>
            <w:r w:rsidRPr="000452DA">
              <w:rPr>
                <w:sz w:val="24"/>
                <w:szCs w:val="24"/>
              </w:rPr>
              <w:t>，有1项业绩得10分，最高得10分。</w:t>
            </w:r>
            <w:r w:rsidRPr="000452DA">
              <w:rPr>
                <w:rFonts w:hint="eastAsia"/>
                <w:sz w:val="24"/>
                <w:szCs w:val="24"/>
              </w:rPr>
              <w:t>须</w:t>
            </w:r>
            <w:r w:rsidRPr="000452DA">
              <w:rPr>
                <w:sz w:val="24"/>
                <w:szCs w:val="24"/>
              </w:rPr>
              <w:t>提供合同复印件</w:t>
            </w:r>
            <w:r w:rsidRPr="000452DA">
              <w:rPr>
                <w:rFonts w:hint="eastAsia"/>
                <w:sz w:val="24"/>
                <w:szCs w:val="24"/>
              </w:rPr>
              <w:t>加盖公章</w:t>
            </w:r>
            <w:r w:rsidRPr="000452DA">
              <w:rPr>
                <w:sz w:val="24"/>
                <w:szCs w:val="24"/>
              </w:rPr>
              <w:t>。</w:t>
            </w:r>
          </w:p>
        </w:tc>
      </w:tr>
      <w:tr w:rsidR="00FE27A5" w:rsidRPr="008610A0" w:rsidTr="00D16B99">
        <w:trPr>
          <w:trHeight w:val="453"/>
        </w:trPr>
        <w:tc>
          <w:tcPr>
            <w:tcW w:w="720" w:type="dxa"/>
            <w:vMerge w:val="restart"/>
            <w:vAlign w:val="center"/>
          </w:tcPr>
          <w:p w:rsidR="00FE27A5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技术部分</w:t>
            </w:r>
          </w:p>
          <w:p w:rsidR="001A40BD" w:rsidRPr="000452DA" w:rsidRDefault="001A40BD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40</w:t>
            </w:r>
          </w:p>
        </w:tc>
        <w:tc>
          <w:tcPr>
            <w:tcW w:w="198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对</w:t>
            </w:r>
            <w:r w:rsidRPr="000452DA">
              <w:rPr>
                <w:rFonts w:hint="eastAsia"/>
                <w:sz w:val="24"/>
                <w:szCs w:val="24"/>
              </w:rPr>
              <w:t>采购要求的</w:t>
            </w:r>
            <w:r w:rsidRPr="000452DA">
              <w:rPr>
                <w:sz w:val="24"/>
                <w:szCs w:val="24"/>
              </w:rPr>
              <w:t>响应程度（40分）</w:t>
            </w:r>
          </w:p>
        </w:tc>
        <w:tc>
          <w:tcPr>
            <w:tcW w:w="5142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对</w:t>
            </w:r>
            <w:r w:rsidRPr="000452DA">
              <w:rPr>
                <w:rFonts w:hint="eastAsia"/>
                <w:sz w:val="24"/>
                <w:szCs w:val="24"/>
              </w:rPr>
              <w:t>改造要求、服务要求、质量保证和工期要求四个部分中的所有条目进行逐一应答，</w:t>
            </w:r>
            <w:r w:rsidRPr="000452D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打</w:t>
            </w:r>
            <w:proofErr w:type="gramStart"/>
            <w:r w:rsidRPr="000452D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“</w:t>
            </w:r>
            <w:proofErr w:type="gramEnd"/>
            <w:r w:rsidRPr="000452DA">
              <w:rPr>
                <w:rFonts w:ascii="宋体" w:hAnsi="宋体" w:hint="eastAsia"/>
                <w:bCs/>
                <w:sz w:val="24"/>
                <w:szCs w:val="24"/>
              </w:rPr>
              <w:t>▲</w:t>
            </w:r>
            <w:r w:rsidRPr="000452D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“号标记的为重点要求项。</w:t>
            </w:r>
          </w:p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有1项“</w:t>
            </w:r>
            <w:r w:rsidRPr="000452DA">
              <w:rPr>
                <w:rFonts w:ascii="宋体" w:hAnsi="宋体" w:hint="eastAsia"/>
                <w:bCs/>
                <w:sz w:val="24"/>
                <w:szCs w:val="24"/>
              </w:rPr>
              <w:t>▲</w:t>
            </w:r>
            <w:r w:rsidRPr="000452DA">
              <w:rPr>
                <w:sz w:val="24"/>
                <w:szCs w:val="24"/>
              </w:rPr>
              <w:t>”号条款不满足的，扣20分；有1项其他条款不满足的，扣</w:t>
            </w:r>
            <w:r w:rsidR="0082684A">
              <w:rPr>
                <w:sz w:val="24"/>
                <w:szCs w:val="24"/>
              </w:rPr>
              <w:t>5</w:t>
            </w:r>
            <w:r w:rsidRPr="000452DA">
              <w:rPr>
                <w:sz w:val="24"/>
                <w:szCs w:val="24"/>
              </w:rPr>
              <w:t>分，最低得分0分。</w:t>
            </w:r>
          </w:p>
        </w:tc>
      </w:tr>
      <w:tr w:rsidR="00FE27A5" w:rsidRPr="008610A0" w:rsidTr="00D16B99">
        <w:trPr>
          <w:trHeight w:val="284"/>
        </w:trPr>
        <w:tc>
          <w:tcPr>
            <w:tcW w:w="720" w:type="dxa"/>
            <w:vMerge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rFonts w:hint="eastAsia"/>
                <w:sz w:val="24"/>
                <w:szCs w:val="24"/>
              </w:rPr>
              <w:t>安装、调试、售后服务方案（1</w:t>
            </w:r>
            <w:r w:rsidRPr="000452DA">
              <w:rPr>
                <w:sz w:val="24"/>
                <w:szCs w:val="24"/>
              </w:rPr>
              <w:t>0</w:t>
            </w:r>
            <w:r w:rsidRPr="000452DA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142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rFonts w:hint="eastAsia"/>
                <w:sz w:val="24"/>
                <w:szCs w:val="24"/>
              </w:rPr>
              <w:t>根据投标人提供的安装、调试、培训等方案进行评价，0</w:t>
            </w:r>
            <w:r w:rsidRPr="000452DA">
              <w:rPr>
                <w:sz w:val="24"/>
                <w:szCs w:val="24"/>
              </w:rPr>
              <w:t>-10</w:t>
            </w:r>
            <w:r w:rsidRPr="000452DA">
              <w:rPr>
                <w:rFonts w:hint="eastAsia"/>
                <w:sz w:val="24"/>
                <w:szCs w:val="24"/>
              </w:rPr>
              <w:t>分。</w:t>
            </w:r>
          </w:p>
        </w:tc>
      </w:tr>
      <w:tr w:rsidR="00FE27A5" w:rsidRPr="008610A0" w:rsidTr="00D16B99">
        <w:trPr>
          <w:trHeight w:val="950"/>
        </w:trPr>
        <w:tc>
          <w:tcPr>
            <w:tcW w:w="720" w:type="dxa"/>
            <w:vMerge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rFonts w:hint="eastAsia"/>
                <w:sz w:val="24"/>
                <w:szCs w:val="24"/>
              </w:rPr>
              <w:t>1</w:t>
            </w:r>
            <w:r w:rsidRPr="000452DA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rFonts w:hint="eastAsia"/>
                <w:sz w:val="24"/>
                <w:szCs w:val="24"/>
              </w:rPr>
              <w:t>工期（1</w:t>
            </w:r>
            <w:r w:rsidRPr="000452DA">
              <w:rPr>
                <w:sz w:val="24"/>
                <w:szCs w:val="24"/>
              </w:rPr>
              <w:t>0</w:t>
            </w:r>
            <w:r w:rsidRPr="000452DA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142" w:type="dxa"/>
            <w:tcBorders>
              <w:top w:val="single" w:sz="4" w:space="0" w:color="auto"/>
            </w:tcBorders>
            <w:vAlign w:val="center"/>
          </w:tcPr>
          <w:p w:rsidR="00FE27A5" w:rsidRPr="000452DA" w:rsidRDefault="00FE27A5" w:rsidP="00D16B9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rFonts w:hint="eastAsia"/>
                <w:sz w:val="24"/>
                <w:szCs w:val="24"/>
              </w:rPr>
              <w:t>投标人在满足招标文件工期的前提下，每减少</w:t>
            </w:r>
            <w:r w:rsidRPr="000452DA">
              <w:rPr>
                <w:sz w:val="24"/>
                <w:szCs w:val="24"/>
              </w:rPr>
              <w:t>2</w:t>
            </w:r>
            <w:r w:rsidRPr="000452DA">
              <w:rPr>
                <w:rFonts w:hint="eastAsia"/>
                <w:sz w:val="24"/>
                <w:szCs w:val="24"/>
              </w:rPr>
              <w:t>天加</w:t>
            </w:r>
            <w:r w:rsidRPr="000452DA">
              <w:rPr>
                <w:sz w:val="24"/>
                <w:szCs w:val="24"/>
              </w:rPr>
              <w:t>1</w:t>
            </w:r>
            <w:r w:rsidRPr="000452DA">
              <w:rPr>
                <w:rFonts w:hint="eastAsia"/>
                <w:sz w:val="24"/>
                <w:szCs w:val="24"/>
              </w:rPr>
              <w:t>分，最多得</w:t>
            </w:r>
            <w:r w:rsidRPr="000452DA">
              <w:rPr>
                <w:sz w:val="24"/>
                <w:szCs w:val="24"/>
              </w:rPr>
              <w:t>10</w:t>
            </w:r>
            <w:r w:rsidRPr="000452DA">
              <w:rPr>
                <w:rFonts w:hint="eastAsia"/>
                <w:sz w:val="24"/>
                <w:szCs w:val="24"/>
              </w:rPr>
              <w:t>分。</w:t>
            </w:r>
          </w:p>
        </w:tc>
      </w:tr>
    </w:tbl>
    <w:p w:rsidR="00FE27A5" w:rsidRPr="00AD1675" w:rsidRDefault="00FE27A5" w:rsidP="00FE27A5"/>
    <w:p w:rsidR="006E1743" w:rsidRPr="00FE27A5" w:rsidRDefault="006E1743"/>
    <w:sectPr w:rsidR="006E1743" w:rsidRPr="00FE2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DB" w:rsidRDefault="008555DB" w:rsidP="00260A2E">
      <w:r>
        <w:separator/>
      </w:r>
    </w:p>
  </w:endnote>
  <w:endnote w:type="continuationSeparator" w:id="0">
    <w:p w:rsidR="008555DB" w:rsidRDefault="008555DB" w:rsidP="0026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DB" w:rsidRDefault="008555DB" w:rsidP="00260A2E">
      <w:r>
        <w:separator/>
      </w:r>
    </w:p>
  </w:footnote>
  <w:footnote w:type="continuationSeparator" w:id="0">
    <w:p w:rsidR="008555DB" w:rsidRDefault="008555DB" w:rsidP="0026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F328C"/>
    <w:rsid w:val="00114963"/>
    <w:rsid w:val="00167B64"/>
    <w:rsid w:val="001A40BD"/>
    <w:rsid w:val="00260A2E"/>
    <w:rsid w:val="00324DB2"/>
    <w:rsid w:val="0035542E"/>
    <w:rsid w:val="003D010A"/>
    <w:rsid w:val="00463043"/>
    <w:rsid w:val="0055184A"/>
    <w:rsid w:val="00552CCE"/>
    <w:rsid w:val="00577A6B"/>
    <w:rsid w:val="00600ED7"/>
    <w:rsid w:val="00664AF3"/>
    <w:rsid w:val="006E1743"/>
    <w:rsid w:val="007D00B3"/>
    <w:rsid w:val="0081625A"/>
    <w:rsid w:val="0082684A"/>
    <w:rsid w:val="00843DD1"/>
    <w:rsid w:val="008555DB"/>
    <w:rsid w:val="00877DD7"/>
    <w:rsid w:val="0089179D"/>
    <w:rsid w:val="00977F58"/>
    <w:rsid w:val="009B692C"/>
    <w:rsid w:val="00A81F6D"/>
    <w:rsid w:val="00B453B8"/>
    <w:rsid w:val="00B52336"/>
    <w:rsid w:val="00B86F16"/>
    <w:rsid w:val="00D728D8"/>
    <w:rsid w:val="00D8248F"/>
    <w:rsid w:val="00EA1160"/>
    <w:rsid w:val="00F14E99"/>
    <w:rsid w:val="00F710A8"/>
    <w:rsid w:val="00FC07D7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E27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E27A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FE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60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60A2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60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60A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E27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E27A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FE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60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60A2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60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60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du</dc:creator>
  <cp:lastModifiedBy>XCK-PC</cp:lastModifiedBy>
  <cp:revision>2</cp:revision>
  <cp:lastPrinted>2023-04-11T02:59:00Z</cp:lastPrinted>
  <dcterms:created xsi:type="dcterms:W3CDTF">2023-04-18T00:03:00Z</dcterms:created>
  <dcterms:modified xsi:type="dcterms:W3CDTF">2023-04-18T00:03:00Z</dcterms:modified>
</cp:coreProperties>
</file>