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8890B">
      <w:pPr>
        <w:widowControl/>
        <w:jc w:val="left"/>
        <w:rPr>
          <w:rFonts w:hint="eastAsia" w:ascii="仿宋" w:hAnsi="仿宋" w:eastAsia="仿宋"/>
          <w:b/>
          <w:sz w:val="30"/>
          <w:szCs w:val="30"/>
        </w:rPr>
      </w:pPr>
    </w:p>
    <w:tbl>
      <w:tblPr>
        <w:tblStyle w:val="8"/>
        <w:tblW w:w="9640" w:type="dxa"/>
        <w:tblInd w:w="-652" w:type="dxa"/>
        <w:tblLayout w:type="fixed"/>
        <w:tblCellMar>
          <w:top w:w="0" w:type="dxa"/>
          <w:left w:w="0" w:type="dxa"/>
          <w:bottom w:w="0" w:type="dxa"/>
          <w:right w:w="0" w:type="dxa"/>
        </w:tblCellMar>
      </w:tblPr>
      <w:tblGrid>
        <w:gridCol w:w="454"/>
        <w:gridCol w:w="283"/>
        <w:gridCol w:w="2042"/>
        <w:gridCol w:w="453"/>
        <w:gridCol w:w="1134"/>
        <w:gridCol w:w="5124"/>
        <w:gridCol w:w="150"/>
      </w:tblGrid>
      <w:tr w14:paraId="17CC1328">
        <w:tblPrEx>
          <w:tblCellMar>
            <w:top w:w="0" w:type="dxa"/>
            <w:left w:w="0" w:type="dxa"/>
            <w:bottom w:w="0" w:type="dxa"/>
            <w:right w:w="0" w:type="dxa"/>
          </w:tblCellMar>
        </w:tblPrEx>
        <w:trPr>
          <w:gridAfter w:val="4"/>
          <w:wAfter w:w="6861" w:type="dxa"/>
          <w:trHeight w:val="312" w:hRule="exact"/>
        </w:trPr>
        <w:tc>
          <w:tcPr>
            <w:tcW w:w="454" w:type="dxa"/>
            <w:vAlign w:val="center"/>
          </w:tcPr>
          <w:p w14:paraId="612E3EB0">
            <w:pPr>
              <w:keepNext w:val="0"/>
              <w:keepLines w:val="0"/>
              <w:suppressLineNumbers w:val="0"/>
              <w:spacing w:before="0" w:beforeAutospacing="0" w:after="0" w:afterAutospacing="0"/>
              <w:ind w:left="0" w:right="0"/>
              <w:rPr>
                <w:rFonts w:hint="default" w:ascii="Times New Roman" w:hAnsi="Times New Roman" w:eastAsia="黑体" w:cs="Times New Roman"/>
                <w:b/>
                <w:szCs w:val="20"/>
              </w:rPr>
            </w:pPr>
            <w:r>
              <w:rPr>
                <w:rFonts w:hint="default" w:ascii="Times New Roman" w:hAnsi="Times New Roman" w:eastAsia="黑体" w:cs="Times New Roman"/>
                <w:b/>
                <w:szCs w:val="20"/>
              </w:rPr>
              <w:t>ICS</w:t>
            </w:r>
          </w:p>
        </w:tc>
        <w:tc>
          <w:tcPr>
            <w:tcW w:w="2325" w:type="dxa"/>
            <w:gridSpan w:val="2"/>
            <w:vAlign w:val="center"/>
          </w:tcPr>
          <w:p w14:paraId="4627E205">
            <w:pPr>
              <w:keepNext w:val="0"/>
              <w:keepLines w:val="0"/>
              <w:suppressLineNumbers w:val="0"/>
              <w:spacing w:before="0" w:beforeAutospacing="0" w:after="0" w:afterAutospacing="0"/>
              <w:ind w:left="0" w:right="0"/>
              <w:jc w:val="left"/>
              <w:textAlignment w:val="center"/>
              <w:rPr>
                <w:rFonts w:hint="eastAsia" w:ascii="黑体" w:hAnsi="黑体" w:eastAsia="黑体" w:cs="Times New Roman"/>
                <w:kern w:val="0"/>
                <w:szCs w:val="20"/>
              </w:rPr>
            </w:pPr>
            <w:r>
              <w:rPr>
                <w:rFonts w:hint="eastAsia" w:ascii="黑体" w:hAnsi="黑体" w:eastAsia="黑体" w:cs="Times New Roman"/>
                <w:color w:val="558ED5" w:themeColor="text2" w:themeTint="99"/>
                <w:spacing w:val="10"/>
                <w:szCs w:val="20"/>
                <w14:textFill>
                  <w14:solidFill>
                    <w14:schemeClr w14:val="tx2">
                      <w14:lumMod w14:val="60000"/>
                      <w14:lumOff w14:val="40000"/>
                    </w14:schemeClr>
                  </w14:solidFill>
                </w14:textFill>
              </w:rPr>
              <w:drawing>
                <wp:anchor distT="0" distB="0" distL="114300" distR="114300" simplePos="0" relativeHeight="251660288" behindDoc="0" locked="0" layoutInCell="1" allowOverlap="1">
                  <wp:simplePos x="0" y="0"/>
                  <wp:positionH relativeFrom="column">
                    <wp:posOffset>4218305</wp:posOffset>
                  </wp:positionH>
                  <wp:positionV relativeFrom="paragraph">
                    <wp:posOffset>22860</wp:posOffset>
                  </wp:positionV>
                  <wp:extent cx="1242695" cy="1223645"/>
                  <wp:effectExtent l="19050" t="0" r="0" b="0"/>
                  <wp:wrapNone/>
                  <wp:docPr id="2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9"/>
                          <pic:cNvPicPr>
                            <a:picLocks noChangeAspect="1" noChangeArrowheads="1"/>
                          </pic:cNvPicPr>
                        </pic:nvPicPr>
                        <pic:blipFill>
                          <a:blip r:embed="rId6" cstate="print"/>
                          <a:srcRect/>
                          <a:stretch>
                            <a:fillRect/>
                          </a:stretch>
                        </pic:blipFill>
                        <pic:spPr>
                          <a:xfrm>
                            <a:off x="0" y="0"/>
                            <a:ext cx="1242695" cy="1223645"/>
                          </a:xfrm>
                          <a:prstGeom prst="rect">
                            <a:avLst/>
                          </a:prstGeom>
                          <a:noFill/>
                          <a:ln w="9525">
                            <a:noFill/>
                            <a:miter lim="800000"/>
                            <a:headEnd/>
                            <a:tailEnd/>
                          </a:ln>
                        </pic:spPr>
                      </pic:pic>
                    </a:graphicData>
                  </a:graphic>
                </wp:anchor>
              </w:drawing>
            </w:r>
            <w:r>
              <w:rPr>
                <w:rFonts w:hint="eastAsia" w:ascii="黑体" w:hAnsi="黑体" w:eastAsia="黑体" w:cs="Times New Roman"/>
                <w:color w:val="558ED5" w:themeColor="text2" w:themeTint="99"/>
                <w:spacing w:val="10"/>
                <w:szCs w:val="20"/>
                <w14:textFill>
                  <w14:solidFill>
                    <w14:schemeClr w14:val="tx2">
                      <w14:lumMod w14:val="60000"/>
                      <w14:lumOff w14:val="40000"/>
                    </w14:schemeClr>
                  </w14:solidFill>
                </w14:textFill>
              </w:rPr>
              <w:t>**.***.**</w:t>
            </w:r>
          </w:p>
          <w:p w14:paraId="0316ABDE">
            <w:pPr>
              <w:keepNext w:val="0"/>
              <w:keepLines w:val="0"/>
              <w:suppressLineNumbers w:val="0"/>
              <w:spacing w:before="0" w:beforeAutospacing="0" w:after="0" w:afterAutospacing="0"/>
              <w:ind w:left="0" w:right="0"/>
              <w:rPr>
                <w:rFonts w:hint="eastAsia" w:ascii="黑体" w:hAnsi="黑体" w:eastAsia="黑体" w:cs="Times New Roman"/>
                <w:szCs w:val="20"/>
              </w:rPr>
            </w:pPr>
          </w:p>
        </w:tc>
      </w:tr>
      <w:tr w14:paraId="23408CC7">
        <w:tblPrEx>
          <w:tblCellMar>
            <w:top w:w="0" w:type="dxa"/>
            <w:left w:w="0" w:type="dxa"/>
            <w:bottom w:w="0" w:type="dxa"/>
            <w:right w:w="0" w:type="dxa"/>
          </w:tblCellMar>
        </w:tblPrEx>
        <w:trPr>
          <w:gridAfter w:val="4"/>
          <w:wAfter w:w="6861" w:type="dxa"/>
          <w:trHeight w:val="312" w:hRule="exact"/>
        </w:trPr>
        <w:tc>
          <w:tcPr>
            <w:tcW w:w="737" w:type="dxa"/>
            <w:gridSpan w:val="2"/>
            <w:vAlign w:val="center"/>
          </w:tcPr>
          <w:p w14:paraId="0B079F28">
            <w:pPr>
              <w:keepNext w:val="0"/>
              <w:keepLines w:val="0"/>
              <w:suppressLineNumbers w:val="0"/>
              <w:spacing w:before="0" w:beforeAutospacing="0" w:after="0" w:afterAutospacing="0"/>
              <w:ind w:left="0" w:right="-170"/>
              <w:rPr>
                <w:rFonts w:hint="eastAsia" w:ascii="黑体" w:hAnsi="黑体" w:eastAsia="黑体" w:cs="Times New Roman"/>
                <w:szCs w:val="20"/>
              </w:rPr>
            </w:pPr>
            <w:r>
              <w:rPr>
                <w:rFonts w:hint="default" w:ascii="Times New Roman" w:hAnsi="Times New Roman" w:eastAsia="黑体" w:cs="Times New Roman"/>
                <w:b/>
                <w:szCs w:val="20"/>
              </w:rPr>
              <w:t>C</w:t>
            </w:r>
            <w:r>
              <w:rPr>
                <w:rFonts w:hint="eastAsia" w:ascii="黑体" w:hAnsi="黑体" w:eastAsia="黑体" w:cs="Times New Roman"/>
                <w:color w:val="558ED5" w:themeColor="text2" w:themeTint="99"/>
                <w:spacing w:val="10"/>
                <w:szCs w:val="20"/>
                <w14:textFill>
                  <w14:solidFill>
                    <w14:schemeClr w14:val="tx2">
                      <w14:lumMod w14:val="60000"/>
                      <w14:lumOff w14:val="40000"/>
                    </w14:schemeClr>
                  </w14:solidFill>
                </w14:textFill>
              </w:rPr>
              <w:t>**</w:t>
            </w:r>
          </w:p>
        </w:tc>
        <w:tc>
          <w:tcPr>
            <w:tcW w:w="2042" w:type="dxa"/>
            <w:vAlign w:val="center"/>
          </w:tcPr>
          <w:p w14:paraId="3E717FCC">
            <w:pPr>
              <w:keepNext w:val="0"/>
              <w:keepLines w:val="0"/>
              <w:suppressLineNumbers w:val="0"/>
              <w:spacing w:before="0" w:beforeAutospacing="0" w:after="0" w:afterAutospacing="0"/>
              <w:ind w:left="0" w:right="0"/>
              <w:rPr>
                <w:rFonts w:hint="default" w:ascii="Times New Roman" w:hAnsi="Times New Roman" w:eastAsia="黑体" w:cs="Times New Roman"/>
                <w:szCs w:val="20"/>
              </w:rPr>
            </w:pPr>
          </w:p>
        </w:tc>
      </w:tr>
      <w:tr w14:paraId="4CC1C877">
        <w:tblPrEx>
          <w:tblCellMar>
            <w:top w:w="0" w:type="dxa"/>
            <w:left w:w="0" w:type="dxa"/>
            <w:bottom w:w="0" w:type="dxa"/>
            <w:right w:w="0" w:type="dxa"/>
          </w:tblCellMar>
        </w:tblPrEx>
        <w:trPr>
          <w:gridAfter w:val="4"/>
          <w:wAfter w:w="6861" w:type="dxa"/>
          <w:trHeight w:val="312" w:hRule="exact"/>
        </w:trPr>
        <w:tc>
          <w:tcPr>
            <w:tcW w:w="737" w:type="dxa"/>
            <w:gridSpan w:val="2"/>
            <w:vAlign w:val="center"/>
          </w:tcPr>
          <w:p w14:paraId="7E6575B2">
            <w:pPr>
              <w:keepNext w:val="0"/>
              <w:keepLines w:val="0"/>
              <w:suppressLineNumbers w:val="0"/>
              <w:spacing w:before="0" w:beforeAutospacing="0" w:after="0" w:afterAutospacing="0"/>
              <w:ind w:left="0" w:right="-170"/>
              <w:rPr>
                <w:rFonts w:hint="default" w:ascii="Times New Roman" w:hAnsi="Times New Roman" w:eastAsia="黑体" w:cs="Times New Roman"/>
                <w:szCs w:val="20"/>
              </w:rPr>
            </w:pPr>
          </w:p>
        </w:tc>
        <w:tc>
          <w:tcPr>
            <w:tcW w:w="2042" w:type="dxa"/>
            <w:vAlign w:val="center"/>
          </w:tcPr>
          <w:p w14:paraId="156131D7">
            <w:pPr>
              <w:keepNext w:val="0"/>
              <w:keepLines w:val="0"/>
              <w:suppressLineNumbers w:val="0"/>
              <w:spacing w:before="0" w:beforeAutospacing="0" w:after="0" w:afterAutospacing="0"/>
              <w:ind w:left="57" w:right="0"/>
              <w:rPr>
                <w:rFonts w:hint="default" w:ascii="Arial Narrow" w:hAnsi="Arial Narrow" w:eastAsia="黑体" w:cs="Times New Roman"/>
                <w:szCs w:val="20"/>
              </w:rPr>
            </w:pPr>
          </w:p>
        </w:tc>
      </w:tr>
      <w:tr w14:paraId="082BA980">
        <w:tblPrEx>
          <w:tblCellMar>
            <w:top w:w="0" w:type="dxa"/>
            <w:left w:w="0" w:type="dxa"/>
            <w:bottom w:w="0" w:type="dxa"/>
            <w:right w:w="0" w:type="dxa"/>
          </w:tblCellMar>
        </w:tblPrEx>
        <w:trPr>
          <w:gridAfter w:val="4"/>
          <w:wAfter w:w="6861" w:type="dxa"/>
          <w:trHeight w:val="312" w:hRule="exact"/>
        </w:trPr>
        <w:tc>
          <w:tcPr>
            <w:tcW w:w="737" w:type="dxa"/>
            <w:gridSpan w:val="2"/>
            <w:vAlign w:val="center"/>
          </w:tcPr>
          <w:p w14:paraId="41346262">
            <w:pPr>
              <w:keepNext w:val="0"/>
              <w:keepLines w:val="0"/>
              <w:suppressLineNumbers w:val="0"/>
              <w:spacing w:before="0" w:beforeAutospacing="0" w:after="0" w:afterAutospacing="0"/>
              <w:ind w:left="0" w:right="-170"/>
              <w:rPr>
                <w:rFonts w:hint="default" w:ascii="Times New Roman" w:hAnsi="Times New Roman" w:eastAsia="黑体" w:cs="Times New Roman"/>
                <w:i/>
                <w:szCs w:val="20"/>
              </w:rPr>
            </w:pPr>
          </w:p>
        </w:tc>
        <w:tc>
          <w:tcPr>
            <w:tcW w:w="2042" w:type="dxa"/>
            <w:vAlign w:val="center"/>
          </w:tcPr>
          <w:p w14:paraId="11AF2BB0">
            <w:pPr>
              <w:keepNext w:val="0"/>
              <w:keepLines w:val="0"/>
              <w:suppressLineNumbers w:val="0"/>
              <w:spacing w:before="0" w:beforeAutospacing="0" w:after="0" w:afterAutospacing="0"/>
              <w:ind w:left="57" w:right="0"/>
              <w:rPr>
                <w:rFonts w:hint="default" w:ascii="Arial Narrow" w:hAnsi="Arial Narrow" w:eastAsia="黑体" w:cs="Times New Roman"/>
                <w:i/>
                <w:szCs w:val="20"/>
              </w:rPr>
            </w:pPr>
          </w:p>
        </w:tc>
      </w:tr>
      <w:tr w14:paraId="6F36AB1C">
        <w:tblPrEx>
          <w:tblCellMar>
            <w:top w:w="0" w:type="dxa"/>
            <w:left w:w="0" w:type="dxa"/>
            <w:bottom w:w="0" w:type="dxa"/>
            <w:right w:w="0" w:type="dxa"/>
          </w:tblCellMar>
        </w:tblPrEx>
        <w:trPr>
          <w:trHeight w:val="368" w:hRule="exact"/>
        </w:trPr>
        <w:tc>
          <w:tcPr>
            <w:tcW w:w="9640" w:type="dxa"/>
            <w:gridSpan w:val="7"/>
          </w:tcPr>
          <w:p w14:paraId="0E124D93">
            <w:pPr>
              <w:keepNext w:val="0"/>
              <w:keepLines w:val="0"/>
              <w:suppressLineNumbers w:val="0"/>
              <w:spacing w:before="120" w:beforeAutospacing="0" w:after="120" w:afterAutospacing="0"/>
              <w:ind w:left="0" w:right="0"/>
              <w:rPr>
                <w:rFonts w:hint="default" w:ascii="Times New Roman" w:hAnsi="Times New Roman" w:eastAsia="宋体" w:cs="Times New Roman"/>
                <w:szCs w:val="20"/>
              </w:rPr>
            </w:pPr>
          </w:p>
        </w:tc>
      </w:tr>
      <w:tr w14:paraId="3E458067">
        <w:tblPrEx>
          <w:tblCellMar>
            <w:top w:w="0" w:type="dxa"/>
            <w:left w:w="0" w:type="dxa"/>
            <w:bottom w:w="0" w:type="dxa"/>
            <w:right w:w="0" w:type="dxa"/>
          </w:tblCellMar>
        </w:tblPrEx>
        <w:trPr>
          <w:trHeight w:val="120" w:hRule="exact"/>
        </w:trPr>
        <w:tc>
          <w:tcPr>
            <w:tcW w:w="9640" w:type="dxa"/>
            <w:gridSpan w:val="7"/>
          </w:tcPr>
          <w:p w14:paraId="1F4F3F8B">
            <w:pPr>
              <w:keepNext w:val="0"/>
              <w:keepLines w:val="0"/>
              <w:suppressLineNumbers w:val="0"/>
              <w:spacing w:before="120" w:beforeAutospacing="0" w:after="120" w:afterAutospacing="0"/>
              <w:ind w:left="0" w:right="0"/>
              <w:rPr>
                <w:rFonts w:hint="default" w:ascii="Times New Roman" w:hAnsi="Times New Roman" w:eastAsia="宋体" w:cs="Times New Roman"/>
                <w:szCs w:val="20"/>
              </w:rPr>
            </w:pPr>
          </w:p>
        </w:tc>
      </w:tr>
      <w:tr w14:paraId="59C0AC1B">
        <w:tblPrEx>
          <w:tblCellMar>
            <w:top w:w="0" w:type="dxa"/>
            <w:left w:w="0" w:type="dxa"/>
            <w:bottom w:w="0" w:type="dxa"/>
            <w:right w:w="0" w:type="dxa"/>
          </w:tblCellMar>
        </w:tblPrEx>
        <w:trPr>
          <w:trHeight w:val="518" w:hRule="exact"/>
        </w:trPr>
        <w:tc>
          <w:tcPr>
            <w:tcW w:w="9640" w:type="dxa"/>
            <w:gridSpan w:val="7"/>
          </w:tcPr>
          <w:p w14:paraId="0B5BBF25">
            <w:pPr>
              <w:keepNext w:val="0"/>
              <w:keepLines w:val="0"/>
              <w:suppressLineNumbers w:val="0"/>
              <w:spacing w:before="120" w:beforeAutospacing="0" w:after="120" w:afterAutospacing="0"/>
              <w:ind w:left="0" w:right="0"/>
              <w:rPr>
                <w:rFonts w:hint="default" w:ascii="Times New Roman" w:hAnsi="Times New Roman" w:eastAsia="宋体" w:cs="Times New Roman"/>
                <w:szCs w:val="20"/>
              </w:rPr>
            </w:pPr>
          </w:p>
        </w:tc>
      </w:tr>
      <w:tr w14:paraId="4EAB98C4">
        <w:tblPrEx>
          <w:tblCellMar>
            <w:top w:w="0" w:type="dxa"/>
            <w:left w:w="0" w:type="dxa"/>
            <w:bottom w:w="0" w:type="dxa"/>
            <w:right w:w="0" w:type="dxa"/>
          </w:tblCellMar>
        </w:tblPrEx>
        <w:trPr>
          <w:trHeight w:val="722" w:hRule="exact"/>
        </w:trPr>
        <w:tc>
          <w:tcPr>
            <w:tcW w:w="9640" w:type="dxa"/>
            <w:gridSpan w:val="7"/>
            <w:vAlign w:val="center"/>
          </w:tcPr>
          <w:p w14:paraId="4F977474">
            <w:pPr>
              <w:keepNext w:val="0"/>
              <w:keepLines w:val="0"/>
              <w:suppressLineNumbers w:val="0"/>
              <w:spacing w:before="0" w:beforeAutospacing="0" w:after="240" w:afterAutospacing="0" w:line="560" w:lineRule="exact"/>
              <w:ind w:left="0" w:right="28"/>
              <w:jc w:val="center"/>
              <w:rPr>
                <w:rFonts w:hint="default" w:ascii="Times New Roman" w:hAnsi="Times New Roman" w:eastAsia="黑体" w:cs="Times New Roman"/>
                <w:w w:val="140"/>
                <w:sz w:val="52"/>
                <w:szCs w:val="20"/>
              </w:rPr>
            </w:pPr>
            <w:r>
              <w:rPr>
                <w:rFonts w:hint="eastAsia" w:ascii="Times New Roman" w:hAnsi="Times New Roman" w:eastAsia="黑体" w:cs="Times New Roman"/>
                <w:w w:val="140"/>
                <w:sz w:val="52"/>
                <w:szCs w:val="20"/>
              </w:rPr>
              <w:t>专家共识</w:t>
            </w:r>
          </w:p>
          <w:p w14:paraId="005B6E85">
            <w:pPr>
              <w:keepNext w:val="0"/>
              <w:keepLines w:val="0"/>
              <w:suppressLineNumbers w:val="0"/>
              <w:spacing w:before="0" w:beforeAutospacing="0" w:after="0" w:afterAutospacing="0" w:line="520" w:lineRule="exact"/>
              <w:ind w:left="0" w:right="0"/>
              <w:rPr>
                <w:rFonts w:hint="default" w:ascii="Times New Roman" w:hAnsi="Times New Roman" w:eastAsia="宋体" w:cs="Times New Roman"/>
                <w:w w:val="140"/>
                <w:sz w:val="52"/>
                <w:szCs w:val="20"/>
              </w:rPr>
            </w:pPr>
          </w:p>
        </w:tc>
      </w:tr>
      <w:tr w14:paraId="1AA8093A">
        <w:tblPrEx>
          <w:tblCellMar>
            <w:top w:w="0" w:type="dxa"/>
            <w:left w:w="0" w:type="dxa"/>
            <w:bottom w:w="0" w:type="dxa"/>
            <w:right w:w="0" w:type="dxa"/>
          </w:tblCellMar>
        </w:tblPrEx>
        <w:trPr>
          <w:trHeight w:val="340" w:hRule="exact"/>
        </w:trPr>
        <w:tc>
          <w:tcPr>
            <w:tcW w:w="9640" w:type="dxa"/>
            <w:gridSpan w:val="7"/>
          </w:tcPr>
          <w:p w14:paraId="281076BD">
            <w:pPr>
              <w:keepNext w:val="0"/>
              <w:keepLines w:val="0"/>
              <w:suppressLineNumbers w:val="0"/>
              <w:spacing w:before="0" w:beforeAutospacing="0" w:after="0" w:afterAutospacing="0"/>
              <w:ind w:left="0" w:right="0"/>
              <w:jc w:val="center"/>
              <w:rPr>
                <w:rFonts w:hint="default" w:ascii="Times New Roman" w:hAnsi="Times New Roman" w:eastAsia="黑体" w:cs="Times New Roman"/>
                <w:b/>
                <w:sz w:val="52"/>
                <w:szCs w:val="20"/>
              </w:rPr>
            </w:pPr>
          </w:p>
        </w:tc>
      </w:tr>
      <w:tr w14:paraId="46D93C18">
        <w:tblPrEx>
          <w:tblCellMar>
            <w:top w:w="0" w:type="dxa"/>
            <w:left w:w="0" w:type="dxa"/>
            <w:bottom w:w="0" w:type="dxa"/>
            <w:right w:w="0" w:type="dxa"/>
          </w:tblCellMar>
        </w:tblPrEx>
        <w:trPr>
          <w:cantSplit/>
          <w:trHeight w:val="60" w:hRule="exact"/>
        </w:trPr>
        <w:tc>
          <w:tcPr>
            <w:tcW w:w="3232" w:type="dxa"/>
            <w:gridSpan w:val="4"/>
            <w:vAlign w:val="center"/>
          </w:tcPr>
          <w:p w14:paraId="3B76C45F">
            <w:pPr>
              <w:keepNext w:val="0"/>
              <w:keepLines w:val="0"/>
              <w:suppressLineNumbers w:val="0"/>
              <w:spacing w:before="0" w:beforeAutospacing="0" w:after="0" w:afterAutospacing="0"/>
              <w:ind w:left="0" w:right="0"/>
              <w:rPr>
                <w:rFonts w:hint="default" w:ascii="Times New Roman" w:hAnsi="Times New Roman" w:eastAsia="宋体" w:cs="Times New Roman"/>
                <w:szCs w:val="20"/>
              </w:rPr>
            </w:pPr>
          </w:p>
        </w:tc>
        <w:tc>
          <w:tcPr>
            <w:tcW w:w="1134" w:type="dxa"/>
            <w:vAlign w:val="center"/>
          </w:tcPr>
          <w:p w14:paraId="5658433B">
            <w:pPr>
              <w:keepNext w:val="0"/>
              <w:keepLines w:val="0"/>
              <w:suppressLineNumbers w:val="0"/>
              <w:spacing w:before="0" w:beforeAutospacing="0" w:after="0" w:afterAutospacing="0"/>
              <w:ind w:left="0" w:right="0"/>
              <w:jc w:val="right"/>
              <w:rPr>
                <w:rFonts w:hint="default" w:ascii="Times New Roman" w:hAnsi="Times New Roman" w:eastAsia="宋体" w:cs="Times New Roman"/>
                <w:szCs w:val="20"/>
              </w:rPr>
            </w:pPr>
          </w:p>
        </w:tc>
        <w:tc>
          <w:tcPr>
            <w:tcW w:w="5124" w:type="dxa"/>
            <w:vAlign w:val="center"/>
          </w:tcPr>
          <w:p w14:paraId="13181CA8">
            <w:pPr>
              <w:keepNext w:val="0"/>
              <w:keepLines w:val="0"/>
              <w:suppressLineNumbers w:val="0"/>
              <w:wordWrap w:val="0"/>
              <w:spacing w:before="0" w:beforeAutospacing="0" w:after="0" w:afterAutospacing="0"/>
              <w:ind w:left="0" w:right="0"/>
              <w:jc w:val="right"/>
              <w:rPr>
                <w:rFonts w:hint="default" w:ascii="Times New Roman" w:hAnsi="Times New Roman" w:eastAsia="宋体" w:cs="Times New Roman"/>
                <w:szCs w:val="20"/>
              </w:rPr>
            </w:pPr>
          </w:p>
        </w:tc>
        <w:tc>
          <w:tcPr>
            <w:tcW w:w="150" w:type="dxa"/>
            <w:vAlign w:val="center"/>
          </w:tcPr>
          <w:p w14:paraId="1F1013ED">
            <w:pPr>
              <w:keepNext w:val="0"/>
              <w:keepLines w:val="0"/>
              <w:suppressLineNumbers w:val="0"/>
              <w:spacing w:before="0" w:beforeAutospacing="0" w:after="0" w:afterAutospacing="0"/>
              <w:ind w:left="0" w:right="0"/>
              <w:rPr>
                <w:rFonts w:hint="default" w:ascii="Times New Roman" w:hAnsi="Times New Roman" w:eastAsia="宋体" w:cs="Times New Roman"/>
                <w:szCs w:val="20"/>
              </w:rPr>
            </w:pPr>
          </w:p>
        </w:tc>
      </w:tr>
      <w:tr w14:paraId="6F1E303B">
        <w:tblPrEx>
          <w:tblCellMar>
            <w:top w:w="0" w:type="dxa"/>
            <w:left w:w="0" w:type="dxa"/>
            <w:bottom w:w="0" w:type="dxa"/>
            <w:right w:w="0" w:type="dxa"/>
          </w:tblCellMar>
        </w:tblPrEx>
        <w:trPr>
          <w:cantSplit/>
          <w:trHeight w:val="360" w:hRule="exact"/>
        </w:trPr>
        <w:tc>
          <w:tcPr>
            <w:tcW w:w="3232" w:type="dxa"/>
            <w:gridSpan w:val="4"/>
            <w:vAlign w:val="center"/>
          </w:tcPr>
          <w:p w14:paraId="16E34C1F">
            <w:pPr>
              <w:keepNext w:val="0"/>
              <w:keepLines w:val="0"/>
              <w:suppressLineNumbers w:val="0"/>
              <w:spacing w:before="0" w:beforeAutospacing="0" w:after="0" w:afterAutospacing="0"/>
              <w:ind w:left="0" w:right="0"/>
              <w:rPr>
                <w:rFonts w:hint="default" w:ascii="Times New Roman" w:hAnsi="Times New Roman" w:eastAsia="宋体" w:cs="Times New Roman"/>
                <w:szCs w:val="20"/>
              </w:rPr>
            </w:pPr>
          </w:p>
        </w:tc>
        <w:tc>
          <w:tcPr>
            <w:tcW w:w="1134" w:type="dxa"/>
            <w:vAlign w:val="center"/>
          </w:tcPr>
          <w:p w14:paraId="28EC0E37">
            <w:pPr>
              <w:keepNext w:val="0"/>
              <w:keepLines w:val="0"/>
              <w:suppressLineNumbers w:val="0"/>
              <w:spacing w:before="0" w:beforeAutospacing="0" w:after="0" w:afterAutospacing="0"/>
              <w:ind w:left="0" w:right="0"/>
              <w:jc w:val="right"/>
              <w:rPr>
                <w:rFonts w:hint="default" w:ascii="Times New Roman" w:hAnsi="Times New Roman" w:eastAsia="宋体" w:cs="Times New Roman"/>
                <w:szCs w:val="20"/>
              </w:rPr>
            </w:pPr>
          </w:p>
        </w:tc>
        <w:tc>
          <w:tcPr>
            <w:tcW w:w="5124" w:type="dxa"/>
            <w:vAlign w:val="center"/>
          </w:tcPr>
          <w:p w14:paraId="02EA1C5E">
            <w:pPr>
              <w:keepNext w:val="0"/>
              <w:keepLines w:val="0"/>
              <w:suppressLineNumbers w:val="0"/>
              <w:spacing w:before="0" w:beforeAutospacing="0" w:after="0" w:afterAutospacing="0" w:line="360" w:lineRule="exact"/>
              <w:ind w:left="0" w:right="0"/>
              <w:jc w:val="right"/>
              <w:rPr>
                <w:rFonts w:hint="eastAsia" w:ascii="黑体" w:hAnsi="黑体" w:eastAsia="黑体" w:cs="Times New Roman"/>
                <w:szCs w:val="20"/>
              </w:rPr>
            </w:pPr>
            <w:r>
              <w:rPr>
                <w:rFonts w:hint="default" w:ascii="黑体" w:hAnsi="黑体" w:eastAsia="黑体" w:cs="Times New Roman"/>
                <w:sz w:val="28"/>
                <w:szCs w:val="20"/>
              </w:rPr>
              <w:t xml:space="preserve">T/CACM </w:t>
            </w:r>
            <w:r>
              <w:rPr>
                <w:rFonts w:hint="eastAsia" w:ascii="黑体" w:hAnsi="黑体" w:eastAsia="黑体" w:cs="Times New Roman"/>
                <w:color w:val="000000" w:themeColor="text1"/>
                <w:spacing w:val="10"/>
                <w:sz w:val="28"/>
                <w:szCs w:val="20"/>
                <w14:textFill>
                  <w14:solidFill>
                    <w14:schemeClr w14:val="tx1"/>
                  </w14:solidFill>
                </w14:textFill>
              </w:rPr>
              <w:t>****</w:t>
            </w:r>
            <w:r>
              <w:rPr>
                <w:rFonts w:hint="default" w:ascii="黑体" w:hAnsi="黑体" w:eastAsia="黑体" w:cs="Times New Roman"/>
                <w:color w:val="000000" w:themeColor="text1"/>
                <w:spacing w:val="10"/>
                <w:sz w:val="28"/>
                <w:szCs w:val="20"/>
                <w14:textFill>
                  <w14:solidFill>
                    <w14:schemeClr w14:val="tx1"/>
                  </w14:solidFill>
                </w14:textFill>
              </w:rPr>
              <w:t>－20</w:t>
            </w:r>
            <w:r>
              <w:rPr>
                <w:rFonts w:hint="eastAsia" w:ascii="黑体" w:hAnsi="黑体" w:eastAsia="黑体" w:cs="Times New Roman"/>
                <w:color w:val="000000" w:themeColor="text1"/>
                <w:spacing w:val="10"/>
                <w:sz w:val="28"/>
                <w:szCs w:val="20"/>
                <w14:textFill>
                  <w14:solidFill>
                    <w14:schemeClr w14:val="tx1"/>
                  </w14:solidFill>
                </w14:textFill>
              </w:rPr>
              <w:t>**</w:t>
            </w:r>
          </w:p>
        </w:tc>
        <w:tc>
          <w:tcPr>
            <w:tcW w:w="150" w:type="dxa"/>
            <w:vAlign w:val="center"/>
          </w:tcPr>
          <w:p w14:paraId="6A4EE117">
            <w:pPr>
              <w:keepNext w:val="0"/>
              <w:keepLines w:val="0"/>
              <w:suppressLineNumbers w:val="0"/>
              <w:spacing w:before="0" w:beforeAutospacing="0" w:after="0" w:afterAutospacing="0"/>
              <w:ind w:left="0" w:right="0"/>
              <w:rPr>
                <w:rFonts w:hint="default" w:ascii="Times New Roman" w:hAnsi="Times New Roman" w:eastAsia="宋体" w:cs="Times New Roman"/>
                <w:szCs w:val="20"/>
              </w:rPr>
            </w:pPr>
          </w:p>
        </w:tc>
      </w:tr>
      <w:tr w14:paraId="7CC6AB20">
        <w:tblPrEx>
          <w:tblCellMar>
            <w:top w:w="0" w:type="dxa"/>
            <w:left w:w="0" w:type="dxa"/>
            <w:bottom w:w="0" w:type="dxa"/>
            <w:right w:w="0" w:type="dxa"/>
          </w:tblCellMar>
        </w:tblPrEx>
        <w:trPr>
          <w:cantSplit/>
          <w:trHeight w:val="148" w:hRule="exact"/>
        </w:trPr>
        <w:tc>
          <w:tcPr>
            <w:tcW w:w="3232" w:type="dxa"/>
            <w:gridSpan w:val="4"/>
            <w:vAlign w:val="center"/>
          </w:tcPr>
          <w:p w14:paraId="742D4875">
            <w:pPr>
              <w:keepNext w:val="0"/>
              <w:keepLines w:val="0"/>
              <w:suppressLineNumbers w:val="0"/>
              <w:spacing w:before="0" w:beforeAutospacing="0" w:after="0" w:afterAutospacing="0"/>
              <w:ind w:left="0" w:right="0"/>
              <w:rPr>
                <w:rFonts w:hint="default" w:ascii="Times New Roman" w:hAnsi="Times New Roman" w:eastAsia="宋体" w:cs="Times New Roman"/>
                <w:szCs w:val="20"/>
              </w:rPr>
            </w:pPr>
          </w:p>
        </w:tc>
        <w:tc>
          <w:tcPr>
            <w:tcW w:w="1134" w:type="dxa"/>
            <w:vAlign w:val="center"/>
          </w:tcPr>
          <w:p w14:paraId="0841A89E">
            <w:pPr>
              <w:keepNext w:val="0"/>
              <w:keepLines w:val="0"/>
              <w:suppressLineNumbers w:val="0"/>
              <w:spacing w:before="0" w:beforeAutospacing="0" w:after="0" w:afterAutospacing="0"/>
              <w:ind w:left="0" w:right="0"/>
              <w:jc w:val="right"/>
              <w:rPr>
                <w:rFonts w:hint="default" w:ascii="Times New Roman" w:hAnsi="Times New Roman" w:eastAsia="宋体" w:cs="Times New Roman"/>
                <w:szCs w:val="20"/>
              </w:rPr>
            </w:pPr>
          </w:p>
        </w:tc>
        <w:tc>
          <w:tcPr>
            <w:tcW w:w="5124" w:type="dxa"/>
            <w:vAlign w:val="center"/>
          </w:tcPr>
          <w:p w14:paraId="59EE6F77">
            <w:pPr>
              <w:keepNext w:val="0"/>
              <w:keepLines w:val="0"/>
              <w:suppressLineNumbers w:val="0"/>
              <w:wordWrap w:val="0"/>
              <w:spacing w:before="0" w:beforeAutospacing="0" w:after="0" w:afterAutospacing="0"/>
              <w:ind w:left="0" w:right="0"/>
              <w:jc w:val="right"/>
              <w:rPr>
                <w:rFonts w:hint="default" w:ascii="Times New Roman" w:hAnsi="Times New Roman" w:eastAsia="宋体" w:cs="Times New Roman"/>
                <w:szCs w:val="20"/>
              </w:rPr>
            </w:pPr>
          </w:p>
        </w:tc>
        <w:tc>
          <w:tcPr>
            <w:tcW w:w="150" w:type="dxa"/>
            <w:vAlign w:val="center"/>
          </w:tcPr>
          <w:p w14:paraId="2B371FAB">
            <w:pPr>
              <w:keepNext w:val="0"/>
              <w:keepLines w:val="0"/>
              <w:suppressLineNumbers w:val="0"/>
              <w:spacing w:before="0" w:beforeAutospacing="0" w:after="0" w:afterAutospacing="0"/>
              <w:ind w:left="0" w:right="0"/>
              <w:rPr>
                <w:rFonts w:hint="default" w:ascii="Times New Roman" w:hAnsi="Times New Roman" w:eastAsia="宋体" w:cs="Times New Roman"/>
                <w:szCs w:val="20"/>
              </w:rPr>
            </w:pPr>
          </w:p>
        </w:tc>
      </w:tr>
      <w:tr w14:paraId="4B74160B">
        <w:tblPrEx>
          <w:tblCellMar>
            <w:top w:w="0" w:type="dxa"/>
            <w:left w:w="0" w:type="dxa"/>
            <w:bottom w:w="0" w:type="dxa"/>
            <w:right w:w="0" w:type="dxa"/>
          </w:tblCellMar>
        </w:tblPrEx>
        <w:trPr>
          <w:trHeight w:val="340" w:hRule="exact"/>
        </w:trPr>
        <w:tc>
          <w:tcPr>
            <w:tcW w:w="9640" w:type="dxa"/>
            <w:gridSpan w:val="7"/>
            <w:tcBorders>
              <w:bottom w:val="single" w:color="auto" w:sz="8" w:space="0"/>
            </w:tcBorders>
          </w:tcPr>
          <w:p w14:paraId="6C9FD9D1">
            <w:pPr>
              <w:keepNext w:val="0"/>
              <w:keepLines w:val="0"/>
              <w:suppressLineNumbers w:val="0"/>
              <w:spacing w:before="0" w:beforeAutospacing="0" w:after="0" w:afterAutospacing="0"/>
              <w:ind w:left="0" w:right="0"/>
              <w:jc w:val="center"/>
              <w:rPr>
                <w:rFonts w:hint="default" w:ascii="Times New Roman" w:hAnsi="Times New Roman" w:eastAsia="黑体" w:cs="Times New Roman"/>
                <w:b/>
                <w:sz w:val="52"/>
                <w:szCs w:val="20"/>
              </w:rPr>
            </w:pPr>
          </w:p>
        </w:tc>
      </w:tr>
      <w:tr w14:paraId="74D63395">
        <w:tblPrEx>
          <w:tblCellMar>
            <w:top w:w="0" w:type="dxa"/>
            <w:left w:w="0" w:type="dxa"/>
            <w:bottom w:w="0" w:type="dxa"/>
            <w:right w:w="0" w:type="dxa"/>
          </w:tblCellMar>
        </w:tblPrEx>
        <w:trPr>
          <w:trHeight w:val="1938" w:hRule="exact"/>
        </w:trPr>
        <w:tc>
          <w:tcPr>
            <w:tcW w:w="9640" w:type="dxa"/>
            <w:gridSpan w:val="7"/>
            <w:tcBorders>
              <w:top w:val="single" w:color="auto" w:sz="8" w:space="0"/>
            </w:tcBorders>
            <w:vAlign w:val="center"/>
          </w:tcPr>
          <w:p w14:paraId="3F7E8C39">
            <w:pPr>
              <w:keepNext w:val="0"/>
              <w:keepLines w:val="0"/>
              <w:suppressLineNumbers w:val="0"/>
              <w:spacing w:before="0" w:beforeAutospacing="0" w:after="0" w:afterAutospacing="0"/>
              <w:ind w:left="0" w:right="0"/>
              <w:jc w:val="center"/>
              <w:rPr>
                <w:rFonts w:hint="default" w:ascii="Times New Roman" w:hAnsi="Times New Roman" w:eastAsia="黑体" w:cs="Times New Roman"/>
                <w:sz w:val="52"/>
                <w:szCs w:val="20"/>
              </w:rPr>
            </w:pPr>
          </w:p>
        </w:tc>
      </w:tr>
      <w:tr w14:paraId="6075A000">
        <w:tblPrEx>
          <w:tblCellMar>
            <w:top w:w="0" w:type="dxa"/>
            <w:left w:w="0" w:type="dxa"/>
            <w:bottom w:w="0" w:type="dxa"/>
            <w:right w:w="0" w:type="dxa"/>
          </w:tblCellMar>
        </w:tblPrEx>
        <w:trPr>
          <w:trHeight w:val="834" w:hRule="exact"/>
        </w:trPr>
        <w:tc>
          <w:tcPr>
            <w:tcW w:w="9640" w:type="dxa"/>
            <w:gridSpan w:val="7"/>
            <w:vAlign w:val="center"/>
          </w:tcPr>
          <w:p w14:paraId="5885C2E7">
            <w:pPr>
              <w:keepNext w:val="0"/>
              <w:keepLines w:val="0"/>
              <w:suppressLineNumbers w:val="0"/>
              <w:spacing w:before="120" w:beforeLines="50" w:beforeAutospacing="0" w:after="120" w:afterLines="50" w:afterAutospacing="0" w:line="360" w:lineRule="auto"/>
              <w:ind w:left="0" w:right="0"/>
              <w:jc w:val="center"/>
              <w:rPr>
                <w:rFonts w:hint="eastAsia" w:ascii="黑体" w:hAnsi="黑体" w:eastAsia="黑体" w:cs="Times New Roman"/>
                <w:color w:val="000000"/>
                <w:sz w:val="48"/>
                <w:szCs w:val="48"/>
              </w:rPr>
            </w:pPr>
            <w:r>
              <w:rPr>
                <w:rFonts w:hint="eastAsia" w:ascii="黑体" w:hAnsi="黑体" w:eastAsia="黑体" w:cs="Times New Roman"/>
                <w:color w:val="000000"/>
                <w:sz w:val="48"/>
                <w:szCs w:val="48"/>
              </w:rPr>
              <w:t>不稳定性心绞痛虚瘀毒证诊断专家共识</w:t>
            </w:r>
          </w:p>
          <w:p w14:paraId="1E9307CA">
            <w:pPr>
              <w:keepNext w:val="0"/>
              <w:keepLines w:val="0"/>
              <w:suppressLineNumbers w:val="0"/>
              <w:spacing w:before="0" w:beforeAutospacing="0" w:after="0" w:afterAutospacing="0"/>
              <w:ind w:left="-105" w:leftChars="-50" w:right="0"/>
              <w:jc w:val="center"/>
              <w:rPr>
                <w:rFonts w:hint="eastAsia" w:ascii="黑体" w:hAnsi="黑体" w:eastAsia="黑体" w:cs="Times New Roman"/>
                <w:sz w:val="52"/>
                <w:szCs w:val="52"/>
              </w:rPr>
            </w:pPr>
          </w:p>
          <w:p w14:paraId="099E8B21">
            <w:pPr>
              <w:keepNext w:val="0"/>
              <w:keepLines w:val="0"/>
              <w:suppressLineNumbers w:val="0"/>
              <w:spacing w:before="0" w:beforeAutospacing="0" w:after="0" w:afterAutospacing="0" w:line="680" w:lineRule="exact"/>
              <w:ind w:left="0" w:right="0"/>
              <w:jc w:val="center"/>
              <w:textAlignment w:val="center"/>
              <w:rPr>
                <w:rFonts w:hint="default" w:ascii="黑体" w:hAnsi="Times New Roman" w:eastAsia="黑体" w:cs="Times New Roman"/>
                <w:kern w:val="0"/>
                <w:sz w:val="52"/>
                <w:szCs w:val="20"/>
              </w:rPr>
            </w:pPr>
          </w:p>
          <w:p w14:paraId="224C340D">
            <w:pPr>
              <w:keepNext w:val="0"/>
              <w:keepLines w:val="0"/>
              <w:suppressLineNumbers w:val="0"/>
              <w:spacing w:before="0" w:beforeAutospacing="0" w:after="0" w:afterAutospacing="0" w:line="640" w:lineRule="exact"/>
              <w:ind w:left="0" w:right="0"/>
              <w:jc w:val="center"/>
              <w:rPr>
                <w:rFonts w:hint="default" w:ascii="黑体" w:hAnsi="Times New Roman" w:eastAsia="黑体" w:cs="Times New Roman"/>
                <w:spacing w:val="-6"/>
                <w:sz w:val="52"/>
                <w:szCs w:val="52"/>
              </w:rPr>
            </w:pPr>
          </w:p>
        </w:tc>
      </w:tr>
      <w:tr w14:paraId="5B9977B6">
        <w:tblPrEx>
          <w:tblCellMar>
            <w:top w:w="0" w:type="dxa"/>
            <w:left w:w="0" w:type="dxa"/>
            <w:bottom w:w="0" w:type="dxa"/>
            <w:right w:w="0" w:type="dxa"/>
          </w:tblCellMar>
        </w:tblPrEx>
        <w:trPr>
          <w:trHeight w:val="1122" w:hRule="exact"/>
        </w:trPr>
        <w:tc>
          <w:tcPr>
            <w:tcW w:w="9640" w:type="dxa"/>
            <w:gridSpan w:val="7"/>
            <w:vAlign w:val="center"/>
          </w:tcPr>
          <w:p w14:paraId="1B881291">
            <w:pPr>
              <w:keepNext w:val="0"/>
              <w:keepLines w:val="0"/>
              <w:suppressLineNumbers w:val="0"/>
              <w:spacing w:before="0" w:beforeAutospacing="0" w:after="0" w:afterAutospacing="0"/>
              <w:ind w:left="0" w:right="0"/>
              <w:jc w:val="center"/>
              <w:rPr>
                <w:rFonts w:hint="default" w:ascii="Times New Roman" w:hAnsi="Times New Roman" w:eastAsia="黑体" w:cs="Times New Roman"/>
                <w:szCs w:val="20"/>
              </w:rPr>
            </w:pPr>
            <w:r>
              <w:rPr>
                <w:rFonts w:hint="eastAsia" w:ascii="Times New Roman" w:hAnsi="Times New Roman" w:eastAsia="黑体" w:cs="Times New Roman"/>
                <w:color w:val="000000"/>
                <w:sz w:val="28"/>
                <w:szCs w:val="28"/>
              </w:rPr>
              <w:t>Expert consensus on diagnosis of ‘deficiency-stasis-toxin’ syndrome of unstable angina</w:t>
            </w:r>
          </w:p>
          <w:p w14:paraId="4E3D1419">
            <w:pPr>
              <w:keepNext w:val="0"/>
              <w:keepLines w:val="0"/>
              <w:suppressLineNumbers w:val="0"/>
              <w:spacing w:before="0" w:beforeAutospacing="0" w:after="0" w:afterAutospacing="0" w:line="0" w:lineRule="atLeast"/>
              <w:ind w:left="0" w:right="0"/>
              <w:jc w:val="center"/>
              <w:rPr>
                <w:rFonts w:hint="eastAsia" w:cs="Times New Roman" w:asciiTheme="minorEastAsia" w:hAnsiTheme="minorEastAsia"/>
                <w:color w:val="000000"/>
                <w:sz w:val="22"/>
                <w:szCs w:val="28"/>
              </w:rPr>
            </w:pPr>
            <w:r>
              <w:rPr>
                <w:rFonts w:hint="eastAsia" w:cs="Times New Roman" w:asciiTheme="minorEastAsia" w:hAnsiTheme="minorEastAsia"/>
                <w:color w:val="000000"/>
                <w:sz w:val="22"/>
                <w:szCs w:val="28"/>
              </w:rPr>
              <w:t>（文件类型：</w:t>
            </w:r>
            <w:r>
              <w:rPr>
                <w:rFonts w:hint="eastAsia" w:cs="Times New Roman" w:asciiTheme="minorEastAsia" w:hAnsiTheme="minorEastAsia"/>
                <w:color w:val="000000"/>
                <w:sz w:val="22"/>
                <w:szCs w:val="28"/>
                <w:lang w:val="en-US" w:eastAsia="zh-CN"/>
              </w:rPr>
              <w:t>征求意见</w:t>
            </w:r>
            <w:r>
              <w:rPr>
                <w:rFonts w:hint="eastAsia" w:cs="Times New Roman" w:asciiTheme="minorEastAsia" w:hAnsiTheme="minorEastAsia"/>
                <w:color w:val="000000"/>
                <w:sz w:val="22"/>
                <w:szCs w:val="28"/>
              </w:rPr>
              <w:t>稿）</w:t>
            </w:r>
          </w:p>
          <w:p w14:paraId="1838F19B">
            <w:pPr>
              <w:keepNext w:val="0"/>
              <w:keepLines w:val="0"/>
              <w:suppressLineNumbers w:val="0"/>
              <w:spacing w:before="0" w:beforeAutospacing="0" w:after="0" w:afterAutospacing="0" w:line="0" w:lineRule="atLeast"/>
              <w:ind w:left="0" w:right="0"/>
              <w:jc w:val="center"/>
              <w:rPr>
                <w:rFonts w:hint="eastAsia" w:cs="Times New Roman" w:asciiTheme="minorEastAsia" w:hAnsiTheme="minorEastAsia"/>
                <w:color w:val="000000"/>
                <w:sz w:val="28"/>
                <w:szCs w:val="28"/>
              </w:rPr>
            </w:pPr>
          </w:p>
        </w:tc>
      </w:tr>
      <w:tr w14:paraId="70AC642C">
        <w:tblPrEx>
          <w:tblCellMar>
            <w:top w:w="0" w:type="dxa"/>
            <w:left w:w="0" w:type="dxa"/>
            <w:bottom w:w="0" w:type="dxa"/>
            <w:right w:w="0" w:type="dxa"/>
          </w:tblCellMar>
        </w:tblPrEx>
        <w:trPr>
          <w:trHeight w:val="454" w:hRule="exact"/>
        </w:trPr>
        <w:tc>
          <w:tcPr>
            <w:tcW w:w="9640" w:type="dxa"/>
            <w:gridSpan w:val="7"/>
            <w:vAlign w:val="center"/>
          </w:tcPr>
          <w:p w14:paraId="299267FF">
            <w:pPr>
              <w:keepNext w:val="0"/>
              <w:keepLines w:val="0"/>
              <w:suppressLineNumbers w:val="0"/>
              <w:spacing w:before="0" w:beforeAutospacing="0" w:after="0" w:afterAutospacing="0" w:line="360" w:lineRule="exact"/>
              <w:ind w:left="0" w:right="0"/>
              <w:jc w:val="center"/>
              <w:rPr>
                <w:rFonts w:hint="default" w:ascii="Calibri" w:hAnsi="Calibri" w:eastAsia="宋体" w:cs="Times New Roman"/>
                <w:b/>
                <w:sz w:val="28"/>
                <w:szCs w:val="28"/>
              </w:rPr>
            </w:pPr>
          </w:p>
        </w:tc>
      </w:tr>
    </w:tbl>
    <w:p w14:paraId="208BD137">
      <w:pPr>
        <w:rPr>
          <w:rFonts w:ascii="Times New Roman" w:hAnsi="Times New Roman" w:eastAsia="宋体" w:cs="Times New Roman"/>
          <w:szCs w:val="20"/>
        </w:rPr>
      </w:pPr>
    </w:p>
    <w:p w14:paraId="2EE5EDBE">
      <w:pPr>
        <w:rPr>
          <w:rFonts w:ascii="Times New Roman" w:hAnsi="Times New Roman" w:eastAsia="宋体" w:cs="Times New Roman"/>
          <w:szCs w:val="20"/>
        </w:rPr>
      </w:pPr>
    </w:p>
    <w:p w14:paraId="45DE65CB">
      <w:pPr>
        <w:rPr>
          <w:rFonts w:ascii="Times New Roman" w:hAnsi="Times New Roman" w:eastAsia="宋体" w:cs="Times New Roman"/>
          <w:szCs w:val="20"/>
        </w:rPr>
      </w:pPr>
    </w:p>
    <w:p w14:paraId="7FF3F96E">
      <w:pPr>
        <w:rPr>
          <w:rFonts w:hint="eastAsia" w:ascii="仿宋" w:hAnsi="仿宋" w:eastAsia="仿宋"/>
          <w:sz w:val="30"/>
          <w:szCs w:val="30"/>
        </w:rPr>
      </w:pPr>
    </w:p>
    <w:p w14:paraId="4DB4E540">
      <w:pPr>
        <w:rPr>
          <w:rFonts w:hint="eastAsia" w:ascii="仿宋" w:hAnsi="仿宋" w:eastAsia="仿宋"/>
          <w:sz w:val="30"/>
          <w:szCs w:val="30"/>
        </w:rPr>
      </w:pPr>
    </w:p>
    <w:p w14:paraId="2FCB9E7E">
      <w:pPr>
        <w:rPr>
          <w:rFonts w:hint="eastAsia" w:ascii="仿宋" w:hAnsi="仿宋" w:eastAsia="仿宋"/>
          <w:sz w:val="30"/>
          <w:szCs w:val="30"/>
        </w:rPr>
      </w:pPr>
    </w:p>
    <w:p w14:paraId="318C243C">
      <w:pPr>
        <w:rPr>
          <w:rFonts w:hint="eastAsia" w:ascii="仿宋" w:hAnsi="仿宋" w:eastAsia="仿宋"/>
          <w:sz w:val="30"/>
          <w:szCs w:val="30"/>
        </w:rPr>
      </w:pPr>
    </w:p>
    <w:p w14:paraId="6856F12E">
      <w:pPr>
        <w:rPr>
          <w:rFonts w:hint="eastAsia" w:ascii="仿宋" w:hAnsi="仿宋" w:eastAsia="仿宋"/>
          <w:sz w:val="30"/>
          <w:szCs w:val="30"/>
        </w:rPr>
      </w:pPr>
    </w:p>
    <w:p w14:paraId="6A6F5450">
      <w:pPr>
        <w:rPr>
          <w:rFonts w:hint="eastAsia" w:ascii="仿宋" w:hAnsi="仿宋" w:eastAsia="仿宋"/>
          <w:sz w:val="30"/>
          <w:szCs w:val="30"/>
        </w:rPr>
      </w:pPr>
    </w:p>
    <w:p w14:paraId="4C0282C3">
      <w:pPr>
        <w:rPr>
          <w:rFonts w:hint="eastAsia" w:ascii="仿宋" w:hAnsi="仿宋" w:eastAsia="仿宋"/>
          <w:sz w:val="30"/>
          <w:szCs w:val="30"/>
        </w:rPr>
      </w:pPr>
    </w:p>
    <w:p w14:paraId="175F5CCB">
      <w:pPr>
        <w:rPr>
          <w:rFonts w:hint="eastAsia" w:ascii="仿宋" w:hAnsi="仿宋" w:eastAsia="仿宋"/>
          <w:sz w:val="30"/>
          <w:szCs w:val="30"/>
        </w:rPr>
      </w:pPr>
    </w:p>
    <w:p w14:paraId="40778514">
      <w:pPr>
        <w:rPr>
          <w:rFonts w:hint="eastAsia" w:ascii="仿宋" w:hAnsi="仿宋" w:eastAsia="仿宋"/>
          <w:sz w:val="30"/>
          <w:szCs w:val="30"/>
        </w:rPr>
      </w:pPr>
    </w:p>
    <w:p w14:paraId="443925FC">
      <w:pPr>
        <w:rPr>
          <w:rFonts w:hint="eastAsia" w:ascii="仿宋" w:hAnsi="仿宋" w:eastAsia="仿宋"/>
          <w:sz w:val="30"/>
          <w:szCs w:val="30"/>
        </w:rPr>
      </w:pPr>
      <w:r>
        <w:rPr>
          <w:rFonts w:ascii="Times New Roman" w:hAnsi="Times New Roman" w:eastAsia="宋体" w:cs="Times New Roman"/>
          <w:sz w:val="20"/>
          <w:szCs w:val="20"/>
        </w:rPr>
        <mc:AlternateContent>
          <mc:Choice Requires="wps">
            <w:drawing>
              <wp:anchor distT="0" distB="0" distL="114300" distR="114300" simplePos="0" relativeHeight="251659264" behindDoc="0" locked="0" layoutInCell="0" allowOverlap="1">
                <wp:simplePos x="0" y="0"/>
                <wp:positionH relativeFrom="column">
                  <wp:posOffset>-457200</wp:posOffset>
                </wp:positionH>
                <wp:positionV relativeFrom="page">
                  <wp:posOffset>8317230</wp:posOffset>
                </wp:positionV>
                <wp:extent cx="6120130" cy="2160270"/>
                <wp:effectExtent l="0" t="0" r="4445" b="1905"/>
                <wp:wrapNone/>
                <wp:docPr id="23" name="文本框 23"/>
                <wp:cNvGraphicFramePr/>
                <a:graphic xmlns:a="http://schemas.openxmlformats.org/drawingml/2006/main">
                  <a:graphicData uri="http://schemas.microsoft.com/office/word/2010/wordprocessingShape">
                    <wps:wsp>
                      <wps:cNvSpPr txBox="1">
                        <a:spLocks noChangeArrowheads="1"/>
                      </wps:cNvSpPr>
                      <wps:spPr bwMode="auto">
                        <a:xfrm>
                          <a:off x="0" y="0"/>
                          <a:ext cx="6120130" cy="2160270"/>
                        </a:xfrm>
                        <a:prstGeom prst="rect">
                          <a:avLst/>
                        </a:prstGeom>
                        <a:solidFill>
                          <a:srgbClr val="FFFFFF"/>
                        </a:solidFill>
                        <a:ln>
                          <a:noFill/>
                        </a:ln>
                        <a:effectLst/>
                      </wps:spPr>
                      <wps:txbx>
                        <w:txbxContent>
                          <w:tbl>
                            <w:tblPr>
                              <w:tblStyle w:val="8"/>
                              <w:tblW w:w="0" w:type="auto"/>
                              <w:jc w:val="center"/>
                              <w:tblLayout w:type="fixed"/>
                              <w:tblCellMar>
                                <w:top w:w="0" w:type="dxa"/>
                                <w:left w:w="0" w:type="dxa"/>
                                <w:bottom w:w="0" w:type="dxa"/>
                                <w:right w:w="0" w:type="dxa"/>
                              </w:tblCellMar>
                            </w:tblPr>
                            <w:tblGrid>
                              <w:gridCol w:w="3232"/>
                              <w:gridCol w:w="3175"/>
                              <w:gridCol w:w="3232"/>
                            </w:tblGrid>
                            <w:tr w14:paraId="37A53A40">
                              <w:tblPrEx>
                                <w:tblCellMar>
                                  <w:top w:w="0" w:type="dxa"/>
                                  <w:left w:w="0" w:type="dxa"/>
                                  <w:bottom w:w="0" w:type="dxa"/>
                                  <w:right w:w="0" w:type="dxa"/>
                                </w:tblCellMar>
                              </w:tblPrEx>
                              <w:trPr>
                                <w:trHeight w:val="312" w:hRule="exact"/>
                                <w:jc w:val="center"/>
                              </w:trPr>
                              <w:tc>
                                <w:tcPr>
                                  <w:tcW w:w="9639" w:type="dxa"/>
                                  <w:gridSpan w:val="3"/>
                                </w:tcPr>
                                <w:p w14:paraId="49BECC02">
                                  <w:pPr>
                                    <w:keepNext w:val="0"/>
                                    <w:keepLines w:val="0"/>
                                    <w:suppressLineNumbers w:val="0"/>
                                    <w:spacing w:before="0" w:beforeAutospacing="0" w:after="0" w:afterAutospacing="0"/>
                                    <w:ind w:left="0" w:right="0"/>
                                    <w:rPr>
                                      <w:rFonts w:hint="default"/>
                                    </w:rPr>
                                  </w:pPr>
                                </w:p>
                              </w:tc>
                            </w:tr>
                            <w:tr w14:paraId="3761F3DC">
                              <w:tblPrEx>
                                <w:tblCellMar>
                                  <w:top w:w="0" w:type="dxa"/>
                                  <w:left w:w="0" w:type="dxa"/>
                                  <w:bottom w:w="0" w:type="dxa"/>
                                  <w:right w:w="0" w:type="dxa"/>
                                </w:tblCellMar>
                              </w:tblPrEx>
                              <w:trPr>
                                <w:trHeight w:val="567" w:hRule="exact"/>
                                <w:jc w:val="center"/>
                              </w:trPr>
                              <w:tc>
                                <w:tcPr>
                                  <w:tcW w:w="9639" w:type="dxa"/>
                                  <w:gridSpan w:val="3"/>
                                </w:tcPr>
                                <w:p w14:paraId="58B874B4">
                                  <w:pPr>
                                    <w:keepNext w:val="0"/>
                                    <w:keepLines w:val="0"/>
                                    <w:suppressLineNumbers w:val="0"/>
                                    <w:spacing w:before="0" w:beforeAutospacing="0" w:after="0" w:afterAutospacing="0"/>
                                    <w:ind w:left="0" w:right="0"/>
                                    <w:rPr>
                                      <w:rFonts w:hint="default"/>
                                    </w:rPr>
                                  </w:pPr>
                                </w:p>
                              </w:tc>
                            </w:tr>
                            <w:tr w14:paraId="24620743">
                              <w:tblPrEx>
                                <w:tblCellMar>
                                  <w:top w:w="0" w:type="dxa"/>
                                  <w:left w:w="0" w:type="dxa"/>
                                  <w:bottom w:w="0" w:type="dxa"/>
                                  <w:right w:w="0" w:type="dxa"/>
                                </w:tblCellMar>
                              </w:tblPrEx>
                              <w:trPr>
                                <w:trHeight w:val="567" w:hRule="exact"/>
                                <w:jc w:val="center"/>
                              </w:trPr>
                              <w:tc>
                                <w:tcPr>
                                  <w:tcW w:w="3232" w:type="dxa"/>
                                  <w:tcBorders>
                                    <w:bottom w:val="single" w:color="auto" w:sz="8" w:space="0"/>
                                  </w:tcBorders>
                                  <w:vAlign w:val="bottom"/>
                                </w:tcPr>
                                <w:p w14:paraId="43D509ED">
                                  <w:pPr>
                                    <w:keepNext w:val="0"/>
                                    <w:keepLines w:val="0"/>
                                    <w:suppressLineNumbers w:val="0"/>
                                    <w:spacing w:before="0" w:beforeAutospacing="0" w:after="0" w:afterAutospacing="0"/>
                                    <w:ind w:left="0" w:right="0"/>
                                    <w:rPr>
                                      <w:rFonts w:hint="eastAsia" w:ascii="黑体" w:hAnsi="黑体" w:eastAsia="黑体"/>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发布</w:t>
                                  </w:r>
                                </w:p>
                              </w:tc>
                              <w:tc>
                                <w:tcPr>
                                  <w:tcW w:w="3175" w:type="dxa"/>
                                  <w:tcBorders>
                                    <w:bottom w:val="single" w:color="auto" w:sz="8" w:space="0"/>
                                  </w:tcBorders>
                                  <w:vAlign w:val="bottom"/>
                                </w:tcPr>
                                <w:p w14:paraId="5EEA9C1E">
                                  <w:pPr>
                                    <w:keepNext w:val="0"/>
                                    <w:keepLines w:val="0"/>
                                    <w:suppressLineNumbers w:val="0"/>
                                    <w:spacing w:before="0" w:beforeAutospacing="0" w:after="0" w:afterAutospacing="0"/>
                                    <w:ind w:left="0" w:right="0"/>
                                    <w:jc w:val="center"/>
                                    <w:rPr>
                                      <w:rFonts w:hint="default" w:ascii="黑体" w:eastAsia="黑体"/>
                                      <w:sz w:val="28"/>
                                    </w:rPr>
                                  </w:pPr>
                                </w:p>
                              </w:tc>
                              <w:tc>
                                <w:tcPr>
                                  <w:tcW w:w="3232" w:type="dxa"/>
                                  <w:tcBorders>
                                    <w:bottom w:val="single" w:color="auto" w:sz="8" w:space="0"/>
                                  </w:tcBorders>
                                  <w:vAlign w:val="bottom"/>
                                </w:tcPr>
                                <w:p w14:paraId="69740EA0">
                                  <w:pPr>
                                    <w:keepNext w:val="0"/>
                                    <w:keepLines w:val="0"/>
                                    <w:suppressLineNumbers w:val="0"/>
                                    <w:spacing w:before="0" w:beforeAutospacing="0" w:after="0" w:afterAutospacing="0"/>
                                    <w:ind w:left="0" w:right="0"/>
                                    <w:jc w:val="right"/>
                                    <w:rPr>
                                      <w:rFonts w:hint="eastAsia" w:ascii="黑体" w:hAnsi="黑体" w:eastAsia="黑体"/>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实施</w:t>
                                  </w:r>
                                </w:p>
                              </w:tc>
                            </w:tr>
                            <w:tr w14:paraId="00455610">
                              <w:tblPrEx>
                                <w:tblCellMar>
                                  <w:top w:w="0" w:type="dxa"/>
                                  <w:left w:w="0" w:type="dxa"/>
                                  <w:bottom w:w="0" w:type="dxa"/>
                                  <w:right w:w="0" w:type="dxa"/>
                                </w:tblCellMar>
                              </w:tblPrEx>
                              <w:trPr>
                                <w:trHeight w:val="567" w:hRule="exact"/>
                                <w:jc w:val="center"/>
                              </w:trPr>
                              <w:tc>
                                <w:tcPr>
                                  <w:tcW w:w="9639" w:type="dxa"/>
                                  <w:gridSpan w:val="3"/>
                                  <w:tcBorders>
                                    <w:top w:val="single" w:color="auto" w:sz="8" w:space="0"/>
                                  </w:tcBorders>
                                  <w:vAlign w:val="center"/>
                                </w:tcPr>
                                <w:p w14:paraId="5FBD67D6">
                                  <w:pPr>
                                    <w:keepNext w:val="0"/>
                                    <w:keepLines w:val="0"/>
                                    <w:suppressLineNumbers w:val="0"/>
                                    <w:spacing w:before="0" w:beforeAutospacing="0" w:after="0" w:afterAutospacing="0"/>
                                    <w:ind w:left="0" w:right="0"/>
                                    <w:jc w:val="center"/>
                                    <w:rPr>
                                      <w:rFonts w:hint="default" w:eastAsia="黑体"/>
                                      <w:spacing w:val="30"/>
                                      <w:sz w:val="32"/>
                                    </w:rPr>
                                  </w:pPr>
                                </w:p>
                              </w:tc>
                            </w:tr>
                            <w:tr w14:paraId="3B6FA3A1">
                              <w:tblPrEx>
                                <w:tblCellMar>
                                  <w:top w:w="0" w:type="dxa"/>
                                  <w:left w:w="0" w:type="dxa"/>
                                  <w:bottom w:w="0" w:type="dxa"/>
                                  <w:right w:w="0" w:type="dxa"/>
                                </w:tblCellMar>
                              </w:tblPrEx>
                              <w:trPr>
                                <w:trHeight w:val="380" w:hRule="exact"/>
                                <w:jc w:val="center"/>
                              </w:trPr>
                              <w:tc>
                                <w:tcPr>
                                  <w:tcW w:w="9639" w:type="dxa"/>
                                  <w:gridSpan w:val="3"/>
                                </w:tcPr>
                                <w:p w14:paraId="7F0344B4">
                                  <w:pPr>
                                    <w:keepNext w:val="0"/>
                                    <w:keepLines w:val="0"/>
                                    <w:suppressLineNumbers w:val="0"/>
                                    <w:spacing w:before="0" w:beforeAutospacing="0" w:after="0" w:afterAutospacing="0" w:line="360" w:lineRule="exact"/>
                                    <w:ind w:left="0" w:right="0"/>
                                    <w:jc w:val="center"/>
                                    <w:rPr>
                                      <w:rFonts w:hint="default"/>
                                      <w:sz w:val="30"/>
                                      <w:szCs w:val="30"/>
                                    </w:rPr>
                                  </w:pPr>
                                  <w:r>
                                    <w:rPr>
                                      <w:rFonts w:hint="eastAsia" w:eastAsia="黑体"/>
                                      <w:spacing w:val="40"/>
                                      <w:sz w:val="32"/>
                                      <w:szCs w:val="32"/>
                                    </w:rPr>
                                    <w:t>中华中医药学会</w:t>
                                  </w:r>
                                  <w:r>
                                    <w:rPr>
                                      <w:rFonts w:hint="eastAsia" w:eastAsia="黑体"/>
                                      <w:spacing w:val="40"/>
                                      <w:sz w:val="28"/>
                                      <w:szCs w:val="28"/>
                                    </w:rPr>
                                    <w:t>发布</w:t>
                                  </w:r>
                                </w:p>
                              </w:tc>
                            </w:tr>
                          </w:tbl>
                          <w:p w14:paraId="44E5317A"/>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6pt;margin-top:654.9pt;height:170.1pt;width:481.9pt;mso-position-vertical-relative:page;z-index:251659264;mso-width-relative:page;mso-height-relative:page;" fillcolor="#FFFFFF" filled="t" stroked="f" coordsize="21600,21600" o:allowincell="f" o:gfxdata="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gM1SvbAAAADQEAAA8AAAAAAAAAAQAgAAAAIgAAAGRycy9kb3ducmV2LnhtbFBLAQIUABQA&#10;AAAIAIdO4kAKHjVEJgIAAD8EAAAOAAAAAAAAAAEAIAAAACoBAABkcnMvZTJvRG9jLnhtbFBLBQYA&#10;AAAABgAGAFkBAADCBQAAAAA=&#10;">
                <v:fill on="t" focussize="0,0"/>
                <v:stroke on="f"/>
                <v:imagedata o:title=""/>
                <o:lock v:ext="edit" aspectratio="f"/>
                <v:textbox inset="0mm,0mm,0mm,0mm">
                  <w:txbxContent>
                    <w:tbl>
                      <w:tblPr>
                        <w:tblStyle w:val="8"/>
                        <w:tblW w:w="0" w:type="auto"/>
                        <w:jc w:val="center"/>
                        <w:tblLayout w:type="fixed"/>
                        <w:tblCellMar>
                          <w:top w:w="0" w:type="dxa"/>
                          <w:left w:w="0" w:type="dxa"/>
                          <w:bottom w:w="0" w:type="dxa"/>
                          <w:right w:w="0" w:type="dxa"/>
                        </w:tblCellMar>
                      </w:tblPr>
                      <w:tblGrid>
                        <w:gridCol w:w="3232"/>
                        <w:gridCol w:w="3175"/>
                        <w:gridCol w:w="3232"/>
                      </w:tblGrid>
                      <w:tr w14:paraId="37A53A40">
                        <w:tblPrEx>
                          <w:tblCellMar>
                            <w:top w:w="0" w:type="dxa"/>
                            <w:left w:w="0" w:type="dxa"/>
                            <w:bottom w:w="0" w:type="dxa"/>
                            <w:right w:w="0" w:type="dxa"/>
                          </w:tblCellMar>
                        </w:tblPrEx>
                        <w:trPr>
                          <w:trHeight w:val="312" w:hRule="exact"/>
                          <w:jc w:val="center"/>
                        </w:trPr>
                        <w:tc>
                          <w:tcPr>
                            <w:tcW w:w="9639" w:type="dxa"/>
                            <w:gridSpan w:val="3"/>
                          </w:tcPr>
                          <w:p w14:paraId="49BECC02">
                            <w:pPr>
                              <w:keepNext w:val="0"/>
                              <w:keepLines w:val="0"/>
                              <w:suppressLineNumbers w:val="0"/>
                              <w:spacing w:before="0" w:beforeAutospacing="0" w:after="0" w:afterAutospacing="0"/>
                              <w:ind w:left="0" w:right="0"/>
                              <w:rPr>
                                <w:rFonts w:hint="default"/>
                              </w:rPr>
                            </w:pPr>
                          </w:p>
                        </w:tc>
                      </w:tr>
                      <w:tr w14:paraId="3761F3DC">
                        <w:tblPrEx>
                          <w:tblCellMar>
                            <w:top w:w="0" w:type="dxa"/>
                            <w:left w:w="0" w:type="dxa"/>
                            <w:bottom w:w="0" w:type="dxa"/>
                            <w:right w:w="0" w:type="dxa"/>
                          </w:tblCellMar>
                        </w:tblPrEx>
                        <w:trPr>
                          <w:trHeight w:val="567" w:hRule="exact"/>
                          <w:jc w:val="center"/>
                        </w:trPr>
                        <w:tc>
                          <w:tcPr>
                            <w:tcW w:w="9639" w:type="dxa"/>
                            <w:gridSpan w:val="3"/>
                          </w:tcPr>
                          <w:p w14:paraId="58B874B4">
                            <w:pPr>
                              <w:keepNext w:val="0"/>
                              <w:keepLines w:val="0"/>
                              <w:suppressLineNumbers w:val="0"/>
                              <w:spacing w:before="0" w:beforeAutospacing="0" w:after="0" w:afterAutospacing="0"/>
                              <w:ind w:left="0" w:right="0"/>
                              <w:rPr>
                                <w:rFonts w:hint="default"/>
                              </w:rPr>
                            </w:pPr>
                          </w:p>
                        </w:tc>
                      </w:tr>
                      <w:tr w14:paraId="24620743">
                        <w:tblPrEx>
                          <w:tblCellMar>
                            <w:top w:w="0" w:type="dxa"/>
                            <w:left w:w="0" w:type="dxa"/>
                            <w:bottom w:w="0" w:type="dxa"/>
                            <w:right w:w="0" w:type="dxa"/>
                          </w:tblCellMar>
                        </w:tblPrEx>
                        <w:trPr>
                          <w:trHeight w:val="567" w:hRule="exact"/>
                          <w:jc w:val="center"/>
                        </w:trPr>
                        <w:tc>
                          <w:tcPr>
                            <w:tcW w:w="3232" w:type="dxa"/>
                            <w:tcBorders>
                              <w:bottom w:val="single" w:color="auto" w:sz="8" w:space="0"/>
                            </w:tcBorders>
                            <w:vAlign w:val="bottom"/>
                          </w:tcPr>
                          <w:p w14:paraId="43D509ED">
                            <w:pPr>
                              <w:keepNext w:val="0"/>
                              <w:keepLines w:val="0"/>
                              <w:suppressLineNumbers w:val="0"/>
                              <w:spacing w:before="0" w:beforeAutospacing="0" w:after="0" w:afterAutospacing="0"/>
                              <w:ind w:left="0" w:right="0"/>
                              <w:rPr>
                                <w:rFonts w:hint="eastAsia" w:ascii="黑体" w:hAnsi="黑体" w:eastAsia="黑体"/>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发布</w:t>
                            </w:r>
                          </w:p>
                        </w:tc>
                        <w:tc>
                          <w:tcPr>
                            <w:tcW w:w="3175" w:type="dxa"/>
                            <w:tcBorders>
                              <w:bottom w:val="single" w:color="auto" w:sz="8" w:space="0"/>
                            </w:tcBorders>
                            <w:vAlign w:val="bottom"/>
                          </w:tcPr>
                          <w:p w14:paraId="5EEA9C1E">
                            <w:pPr>
                              <w:keepNext w:val="0"/>
                              <w:keepLines w:val="0"/>
                              <w:suppressLineNumbers w:val="0"/>
                              <w:spacing w:before="0" w:beforeAutospacing="0" w:after="0" w:afterAutospacing="0"/>
                              <w:ind w:left="0" w:right="0"/>
                              <w:jc w:val="center"/>
                              <w:rPr>
                                <w:rFonts w:hint="default" w:ascii="黑体" w:eastAsia="黑体"/>
                                <w:sz w:val="28"/>
                              </w:rPr>
                            </w:pPr>
                          </w:p>
                        </w:tc>
                        <w:tc>
                          <w:tcPr>
                            <w:tcW w:w="3232" w:type="dxa"/>
                            <w:tcBorders>
                              <w:bottom w:val="single" w:color="auto" w:sz="8" w:space="0"/>
                            </w:tcBorders>
                            <w:vAlign w:val="bottom"/>
                          </w:tcPr>
                          <w:p w14:paraId="69740EA0">
                            <w:pPr>
                              <w:keepNext w:val="0"/>
                              <w:keepLines w:val="0"/>
                              <w:suppressLineNumbers w:val="0"/>
                              <w:spacing w:before="0" w:beforeAutospacing="0" w:after="0" w:afterAutospacing="0"/>
                              <w:ind w:left="0" w:right="0"/>
                              <w:jc w:val="right"/>
                              <w:rPr>
                                <w:rFonts w:hint="eastAsia" w:ascii="黑体" w:hAnsi="黑体" w:eastAsia="黑体"/>
                              </w:rPr>
                            </w:pPr>
                            <w:r>
                              <w:rPr>
                                <w:rFonts w:hint="eastAsia" w:ascii="黑体" w:hAnsi="黑体" w:eastAsia="黑体"/>
                                <w:spacing w:val="10"/>
                                <w:sz w:val="28"/>
                                <w:szCs w:val="28"/>
                              </w:rPr>
                              <w:t>20**</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w:t>
                            </w:r>
                            <w:r>
                              <w:rPr>
                                <w:rFonts w:hint="eastAsia" w:ascii="黑体" w:hAnsi="黑体" w:eastAsia="黑体"/>
                                <w:spacing w:val="10"/>
                                <w:sz w:val="28"/>
                                <w:szCs w:val="28"/>
                              </w:rPr>
                              <w:t>**</w:t>
                            </w:r>
                            <w:r>
                              <w:rPr>
                                <w:rFonts w:hint="eastAsia" w:ascii="黑体" w:hAnsi="黑体" w:eastAsia="黑体"/>
                                <w:sz w:val="28"/>
                              </w:rPr>
                              <w:t>实施</w:t>
                            </w:r>
                          </w:p>
                        </w:tc>
                      </w:tr>
                      <w:tr w14:paraId="00455610">
                        <w:tblPrEx>
                          <w:tblCellMar>
                            <w:top w:w="0" w:type="dxa"/>
                            <w:left w:w="0" w:type="dxa"/>
                            <w:bottom w:w="0" w:type="dxa"/>
                            <w:right w:w="0" w:type="dxa"/>
                          </w:tblCellMar>
                        </w:tblPrEx>
                        <w:trPr>
                          <w:trHeight w:val="567" w:hRule="exact"/>
                          <w:jc w:val="center"/>
                        </w:trPr>
                        <w:tc>
                          <w:tcPr>
                            <w:tcW w:w="9639" w:type="dxa"/>
                            <w:gridSpan w:val="3"/>
                            <w:tcBorders>
                              <w:top w:val="single" w:color="auto" w:sz="8" w:space="0"/>
                            </w:tcBorders>
                            <w:vAlign w:val="center"/>
                          </w:tcPr>
                          <w:p w14:paraId="5FBD67D6">
                            <w:pPr>
                              <w:keepNext w:val="0"/>
                              <w:keepLines w:val="0"/>
                              <w:suppressLineNumbers w:val="0"/>
                              <w:spacing w:before="0" w:beforeAutospacing="0" w:after="0" w:afterAutospacing="0"/>
                              <w:ind w:left="0" w:right="0"/>
                              <w:jc w:val="center"/>
                              <w:rPr>
                                <w:rFonts w:hint="default" w:eastAsia="黑体"/>
                                <w:spacing w:val="30"/>
                                <w:sz w:val="32"/>
                              </w:rPr>
                            </w:pPr>
                          </w:p>
                        </w:tc>
                      </w:tr>
                      <w:tr w14:paraId="3B6FA3A1">
                        <w:tblPrEx>
                          <w:tblCellMar>
                            <w:top w:w="0" w:type="dxa"/>
                            <w:left w:w="0" w:type="dxa"/>
                            <w:bottom w:w="0" w:type="dxa"/>
                            <w:right w:w="0" w:type="dxa"/>
                          </w:tblCellMar>
                        </w:tblPrEx>
                        <w:trPr>
                          <w:trHeight w:val="380" w:hRule="exact"/>
                          <w:jc w:val="center"/>
                        </w:trPr>
                        <w:tc>
                          <w:tcPr>
                            <w:tcW w:w="9639" w:type="dxa"/>
                            <w:gridSpan w:val="3"/>
                          </w:tcPr>
                          <w:p w14:paraId="7F0344B4">
                            <w:pPr>
                              <w:keepNext w:val="0"/>
                              <w:keepLines w:val="0"/>
                              <w:suppressLineNumbers w:val="0"/>
                              <w:spacing w:before="0" w:beforeAutospacing="0" w:after="0" w:afterAutospacing="0" w:line="360" w:lineRule="exact"/>
                              <w:ind w:left="0" w:right="0"/>
                              <w:jc w:val="center"/>
                              <w:rPr>
                                <w:rFonts w:hint="default"/>
                                <w:sz w:val="30"/>
                                <w:szCs w:val="30"/>
                              </w:rPr>
                            </w:pPr>
                            <w:r>
                              <w:rPr>
                                <w:rFonts w:hint="eastAsia" w:eastAsia="黑体"/>
                                <w:spacing w:val="40"/>
                                <w:sz w:val="32"/>
                                <w:szCs w:val="32"/>
                              </w:rPr>
                              <w:t>中华中医药学会</w:t>
                            </w:r>
                            <w:r>
                              <w:rPr>
                                <w:rFonts w:hint="eastAsia" w:eastAsia="黑体"/>
                                <w:spacing w:val="40"/>
                                <w:sz w:val="28"/>
                                <w:szCs w:val="28"/>
                              </w:rPr>
                              <w:t>发布</w:t>
                            </w:r>
                          </w:p>
                        </w:tc>
                      </w:tr>
                    </w:tbl>
                    <w:p w14:paraId="44E5317A"/>
                  </w:txbxContent>
                </v:textbox>
              </v:shape>
            </w:pict>
          </mc:Fallback>
        </mc:AlternateContent>
      </w:r>
    </w:p>
    <w:p w14:paraId="4D1E1730">
      <w:pPr>
        <w:pStyle w:val="19"/>
        <w:rPr>
          <w:rFonts w:hAnsi="黑体"/>
        </w:rPr>
      </w:pPr>
      <w:r>
        <w:rPr>
          <w:rFonts w:hint="eastAsia" w:hAnsi="黑体"/>
        </w:rPr>
        <w:t>目</w:t>
      </w:r>
      <w:r>
        <w:rPr>
          <w:rFonts w:hAnsi="黑体"/>
        </w:rPr>
        <w:t> </w:t>
      </w:r>
      <w:r>
        <w:rPr>
          <w:rFonts w:hint="eastAsia" w:hAnsi="黑体"/>
        </w:rPr>
        <w:t>次</w:t>
      </w:r>
    </w:p>
    <w:p w14:paraId="7658290B">
      <w:pPr>
        <w:spacing w:line="360" w:lineRule="exact"/>
        <w:jc w:val="distribute"/>
        <w:rPr>
          <w:rFonts w:ascii="Times New Roman" w:hAnsi="Times New Roman" w:cs="Times New Roman"/>
        </w:rPr>
      </w:pPr>
      <w:r>
        <w:rPr>
          <w:rFonts w:ascii="Times New Roman" w:hAnsi="Times New Roman" w:cs="Times New Roman"/>
        </w:rPr>
        <w:t>前言………………………………………………………………………………………………II</w:t>
      </w:r>
    </w:p>
    <w:p w14:paraId="6AC16799">
      <w:pPr>
        <w:spacing w:line="360" w:lineRule="exact"/>
        <w:jc w:val="distribute"/>
        <w:rPr>
          <w:rFonts w:ascii="Times New Roman" w:hAnsi="Times New Roman" w:cs="Times New Roman"/>
        </w:rPr>
      </w:pPr>
      <w:r>
        <w:rPr>
          <w:rFonts w:ascii="Times New Roman" w:hAnsi="Times New Roman" w:cs="Times New Roman"/>
        </w:rPr>
        <w:t>引言………………………………………………………………………………………………III</w:t>
      </w:r>
    </w:p>
    <w:p w14:paraId="39295FD7">
      <w:pPr>
        <w:spacing w:line="360" w:lineRule="exact"/>
        <w:jc w:val="distribute"/>
        <w:rPr>
          <w:rFonts w:ascii="Times New Roman" w:hAnsi="Times New Roman" w:cs="Times New Roman"/>
        </w:rPr>
      </w:pPr>
      <w:r>
        <w:rPr>
          <w:rFonts w:ascii="Times New Roman" w:hAnsi="Times New Roman" w:cs="Times New Roman"/>
        </w:rPr>
        <w:t>1 范围……………………………………………………………………………………………1</w:t>
      </w:r>
    </w:p>
    <w:p w14:paraId="311A3D6E">
      <w:pPr>
        <w:spacing w:line="360" w:lineRule="exact"/>
        <w:jc w:val="distribute"/>
        <w:rPr>
          <w:rFonts w:ascii="Times New Roman" w:hAnsi="Times New Roman" w:cs="Times New Roman"/>
        </w:rPr>
      </w:pPr>
      <w:r>
        <w:rPr>
          <w:rFonts w:ascii="Times New Roman" w:hAnsi="Times New Roman" w:cs="Times New Roman"/>
        </w:rPr>
        <w:t>2 规范性引用文件………………………………………………………………………………1</w:t>
      </w:r>
    </w:p>
    <w:p w14:paraId="05DA0020">
      <w:pPr>
        <w:spacing w:line="360" w:lineRule="exact"/>
        <w:jc w:val="distribute"/>
        <w:rPr>
          <w:rFonts w:ascii="Times New Roman" w:hAnsi="Times New Roman" w:cs="Times New Roman"/>
        </w:rPr>
      </w:pPr>
      <w:r>
        <w:rPr>
          <w:rFonts w:ascii="Times New Roman" w:hAnsi="Times New Roman" w:cs="Times New Roman"/>
        </w:rPr>
        <w:t>3 术语和定义……………………………………………………………………………………1</w:t>
      </w:r>
    </w:p>
    <w:p w14:paraId="74A31DA4">
      <w:pPr>
        <w:spacing w:line="360" w:lineRule="exact"/>
        <w:jc w:val="distribute"/>
        <w:rPr>
          <w:rFonts w:hint="eastAsia" w:ascii="Times New Roman" w:hAnsi="Times New Roman" w:cs="Times New Roman" w:eastAsiaTheme="minorEastAsia"/>
          <w:lang w:eastAsia="zh-CN"/>
        </w:rPr>
      </w:pPr>
      <w:r>
        <w:rPr>
          <w:rFonts w:ascii="Times New Roman" w:hAnsi="Times New Roman" w:cs="Times New Roman"/>
        </w:rPr>
        <w:t>4 不稳定性心绞痛虚瘀毒证诊断</w:t>
      </w:r>
      <w:r>
        <w:rPr>
          <w:rFonts w:hint="eastAsia" w:ascii="Times New Roman" w:hAnsi="Times New Roman" w:cs="Times New Roman"/>
        </w:rPr>
        <w:t>专家共识</w:t>
      </w:r>
      <w:r>
        <w:rPr>
          <w:rFonts w:ascii="Times New Roman" w:hAnsi="Times New Roman" w:cs="Times New Roman"/>
        </w:rPr>
        <w:t>………………………………………………………</w:t>
      </w:r>
      <w:r>
        <w:rPr>
          <w:rFonts w:hint="eastAsia" w:ascii="Times New Roman" w:hAnsi="Times New Roman" w:cs="Times New Roman"/>
          <w:lang w:val="en-US" w:eastAsia="zh-CN"/>
        </w:rPr>
        <w:t>4</w:t>
      </w:r>
    </w:p>
    <w:p w14:paraId="4228E4C2">
      <w:pPr>
        <w:spacing w:line="360" w:lineRule="exact"/>
        <w:ind w:firstLine="210" w:firstLineChars="100"/>
        <w:rPr>
          <w:rFonts w:hint="eastAsia" w:ascii="Times New Roman" w:hAnsi="Times New Roman" w:cs="Times New Roman" w:eastAsiaTheme="minorEastAsia"/>
          <w:lang w:eastAsia="zh-CN"/>
        </w:rPr>
      </w:pPr>
      <w:r>
        <w:rPr>
          <w:rFonts w:ascii="Times New Roman" w:hAnsi="Times New Roman" w:cs="Times New Roman"/>
        </w:rPr>
        <w:t>4.1 不稳定性心绞痛虚瘀毒证诊断依据表…………</w:t>
      </w:r>
      <w:r>
        <w:rPr>
          <w:rFonts w:hint="eastAsia" w:ascii="Times New Roman" w:hAnsi="Times New Roman" w:cs="Times New Roman"/>
          <w:lang w:val="en-US" w:eastAsia="zh-CN"/>
        </w:rPr>
        <w:t>.</w:t>
      </w:r>
      <w:r>
        <w:rPr>
          <w:rFonts w:ascii="Times New Roman" w:hAnsi="Times New Roman" w:cs="Times New Roman"/>
        </w:rPr>
        <w:t>…………………………………………</w:t>
      </w:r>
      <w:r>
        <w:rPr>
          <w:rFonts w:hint="eastAsia" w:ascii="Times New Roman" w:hAnsi="Times New Roman" w:cs="Times New Roman"/>
          <w:lang w:val="en-US" w:eastAsia="zh-CN"/>
        </w:rPr>
        <w:t>4</w:t>
      </w:r>
    </w:p>
    <w:p w14:paraId="767FB6D1">
      <w:pPr>
        <w:spacing w:line="360" w:lineRule="exact"/>
        <w:ind w:firstLine="210" w:firstLineChars="100"/>
        <w:rPr>
          <w:rFonts w:hint="eastAsia" w:ascii="Times New Roman" w:hAnsi="Times New Roman" w:cs="Times New Roman" w:eastAsiaTheme="minorEastAsia"/>
          <w:lang w:val="en-US" w:eastAsia="zh-CN"/>
        </w:rPr>
      </w:pPr>
      <w:r>
        <w:rPr>
          <w:rFonts w:ascii="Times New Roman" w:hAnsi="Times New Roman" w:cs="Times New Roman"/>
        </w:rPr>
        <w:t>4.2 不稳定性心绞痛虚瘀毒证的诊断原则……………………</w:t>
      </w:r>
      <w:r>
        <w:rPr>
          <w:rFonts w:hint="eastAsia" w:ascii="Times New Roman" w:hAnsi="Times New Roman" w:cs="Times New Roman"/>
          <w:lang w:val="en-US" w:eastAsia="zh-CN"/>
        </w:rPr>
        <w:t>.</w:t>
      </w:r>
      <w:r>
        <w:rPr>
          <w:rFonts w:ascii="Times New Roman" w:hAnsi="Times New Roman" w:cs="Times New Roman"/>
        </w:rPr>
        <w:t>………………………………</w:t>
      </w:r>
      <w:r>
        <w:rPr>
          <w:rFonts w:hint="eastAsia" w:ascii="Times New Roman" w:hAnsi="Times New Roman" w:cs="Times New Roman"/>
          <w:lang w:val="en-US" w:eastAsia="zh-CN"/>
        </w:rPr>
        <w:t>5</w:t>
      </w:r>
    </w:p>
    <w:p w14:paraId="300B36EA">
      <w:pPr>
        <w:spacing w:line="360" w:lineRule="exact"/>
        <w:rPr>
          <w:rFonts w:hint="eastAsia" w:ascii="Times New Roman" w:hAnsi="Times New Roman" w:cs="Times New Roman" w:eastAsiaTheme="minorEastAsia"/>
          <w:lang w:val="en-US" w:eastAsia="zh-CN"/>
        </w:rPr>
      </w:pPr>
      <w:r>
        <w:rPr>
          <w:rFonts w:ascii="Times New Roman" w:hAnsi="Times New Roman" w:cs="Times New Roman"/>
        </w:rPr>
        <w:t>附录A（资料性/规范性）与本文相关的证候术语………………………………………………</w:t>
      </w:r>
      <w:r>
        <w:rPr>
          <w:rFonts w:hint="eastAsia" w:ascii="Times New Roman" w:hAnsi="Times New Roman" w:cs="Times New Roman"/>
          <w:lang w:val="en-US" w:eastAsia="zh-CN"/>
        </w:rPr>
        <w:t>6</w:t>
      </w:r>
    </w:p>
    <w:p w14:paraId="0C0C7D25">
      <w:pPr>
        <w:spacing w:line="360" w:lineRule="exact"/>
        <w:rPr>
          <w:rFonts w:hint="eastAsia" w:ascii="Times New Roman" w:hAnsi="Times New Roman" w:cs="Times New Roman" w:eastAsiaTheme="minorEastAsia"/>
          <w:lang w:val="en-US" w:eastAsia="zh-CN"/>
        </w:rPr>
      </w:pPr>
      <w:r>
        <w:rPr>
          <w:rFonts w:ascii="Times New Roman" w:hAnsi="Times New Roman" w:cs="Times New Roman"/>
        </w:rPr>
        <w:t>附录B（资料性/规范性）既往不稳定性心绞痛中西医结合诊疗专家共识或指南……………</w:t>
      </w:r>
      <w:r>
        <w:rPr>
          <w:rFonts w:hint="eastAsia" w:ascii="Times New Roman" w:hAnsi="Times New Roman" w:cs="Times New Roman"/>
          <w:lang w:val="en-US" w:eastAsia="zh-CN"/>
        </w:rPr>
        <w:t>7</w:t>
      </w:r>
    </w:p>
    <w:p w14:paraId="31E6EAA0">
      <w:pPr>
        <w:spacing w:line="360" w:lineRule="exact"/>
        <w:rPr>
          <w:rFonts w:hint="eastAsia" w:ascii="Times New Roman" w:hAnsi="Times New Roman" w:cs="Times New Roman" w:eastAsiaTheme="minorEastAsia"/>
          <w:lang w:eastAsia="zh-CN"/>
        </w:rPr>
      </w:pPr>
      <w:r>
        <w:rPr>
          <w:rFonts w:ascii="Times New Roman" w:hAnsi="Times New Roman" w:cs="Times New Roman"/>
        </w:rPr>
        <w:t>参考文献……………………………………………………………………………………………</w:t>
      </w:r>
      <w:r>
        <w:rPr>
          <w:rFonts w:hint="eastAsia" w:ascii="Times New Roman" w:hAnsi="Times New Roman" w:cs="Times New Roman"/>
          <w:lang w:val="en-US" w:eastAsia="zh-CN"/>
        </w:rPr>
        <w:t>8</w:t>
      </w:r>
    </w:p>
    <w:p w14:paraId="22F0CDB1"/>
    <w:p w14:paraId="3F424672"/>
    <w:p w14:paraId="6C956425"/>
    <w:p w14:paraId="3A2FCC63">
      <w:pPr>
        <w:ind w:firstLine="420" w:firstLineChars="200"/>
      </w:pPr>
      <w:r>
        <w:br w:type="page"/>
      </w:r>
    </w:p>
    <w:tbl>
      <w:tblPr>
        <w:tblStyle w:val="8"/>
        <w:tblW w:w="8173" w:type="dxa"/>
        <w:tblInd w:w="125" w:type="dxa"/>
        <w:tblLayout w:type="fixed"/>
        <w:tblCellMar>
          <w:top w:w="0" w:type="dxa"/>
          <w:left w:w="0" w:type="dxa"/>
          <w:bottom w:w="0" w:type="dxa"/>
          <w:right w:w="0" w:type="dxa"/>
        </w:tblCellMar>
      </w:tblPr>
      <w:tblGrid>
        <w:gridCol w:w="8173"/>
      </w:tblGrid>
      <w:tr w14:paraId="7DC4D17D">
        <w:tblPrEx>
          <w:tblCellMar>
            <w:top w:w="0" w:type="dxa"/>
            <w:left w:w="0" w:type="dxa"/>
            <w:bottom w:w="0" w:type="dxa"/>
            <w:right w:w="0" w:type="dxa"/>
          </w:tblCellMar>
        </w:tblPrEx>
        <w:trPr>
          <w:trHeight w:val="567" w:hRule="exact"/>
        </w:trPr>
        <w:tc>
          <w:tcPr>
            <w:tcW w:w="8173" w:type="dxa"/>
            <w:vAlign w:val="center"/>
          </w:tcPr>
          <w:p w14:paraId="56C0D000">
            <w:pPr>
              <w:keepNext w:val="0"/>
              <w:keepLines w:val="0"/>
              <w:suppressLineNumbers w:val="0"/>
              <w:spacing w:before="0" w:beforeAutospacing="0" w:after="0" w:afterAutospacing="0"/>
              <w:ind w:left="0" w:right="0"/>
              <w:jc w:val="center"/>
              <w:rPr>
                <w:rFonts w:hint="default"/>
              </w:rPr>
            </w:pPr>
          </w:p>
          <w:p w14:paraId="3DF86844">
            <w:pPr>
              <w:keepNext w:val="0"/>
              <w:keepLines w:val="0"/>
              <w:suppressLineNumbers w:val="0"/>
              <w:spacing w:before="0" w:beforeAutospacing="0" w:after="0" w:afterAutospacing="0"/>
              <w:ind w:left="0" w:right="0"/>
              <w:jc w:val="center"/>
              <w:rPr>
                <w:rFonts w:hint="default" w:eastAsia="华文中宋"/>
              </w:rPr>
            </w:pPr>
          </w:p>
        </w:tc>
      </w:tr>
      <w:tr w14:paraId="29A9B08B">
        <w:tblPrEx>
          <w:tblCellMar>
            <w:top w:w="0" w:type="dxa"/>
            <w:left w:w="0" w:type="dxa"/>
            <w:bottom w:w="0" w:type="dxa"/>
            <w:right w:w="0" w:type="dxa"/>
          </w:tblCellMar>
        </w:tblPrEx>
        <w:trPr>
          <w:trHeight w:val="360" w:hRule="exact"/>
        </w:trPr>
        <w:tc>
          <w:tcPr>
            <w:tcW w:w="8173" w:type="dxa"/>
            <w:vAlign w:val="center"/>
          </w:tcPr>
          <w:p w14:paraId="02A5B1FC">
            <w:pPr>
              <w:keepNext w:val="0"/>
              <w:keepLines w:val="0"/>
              <w:suppressLineNumbers w:val="0"/>
              <w:spacing w:before="0" w:beforeAutospacing="0" w:after="0" w:afterAutospacing="0" w:line="360" w:lineRule="exact"/>
              <w:ind w:left="0" w:right="0"/>
              <w:jc w:val="center"/>
              <w:rPr>
                <w:rFonts w:hint="default" w:ascii="黑体" w:eastAsia="黑体"/>
              </w:rPr>
            </w:pPr>
            <w:r>
              <w:rPr>
                <w:rFonts w:hint="eastAsia" w:ascii="黑体" w:eastAsia="黑体"/>
                <w:sz w:val="32"/>
              </w:rPr>
              <w:t>前  言</w:t>
            </w:r>
          </w:p>
        </w:tc>
      </w:tr>
      <w:tr w14:paraId="40CE6F04">
        <w:tblPrEx>
          <w:tblCellMar>
            <w:top w:w="0" w:type="dxa"/>
            <w:left w:w="0" w:type="dxa"/>
            <w:bottom w:w="0" w:type="dxa"/>
            <w:right w:w="0" w:type="dxa"/>
          </w:tblCellMar>
        </w:tblPrEx>
        <w:trPr>
          <w:trHeight w:val="519" w:hRule="exact"/>
        </w:trPr>
        <w:tc>
          <w:tcPr>
            <w:tcW w:w="8173" w:type="dxa"/>
            <w:vAlign w:val="center"/>
          </w:tcPr>
          <w:p w14:paraId="6DE68D7A">
            <w:pPr>
              <w:keepNext w:val="0"/>
              <w:keepLines w:val="0"/>
              <w:suppressLineNumbers w:val="0"/>
              <w:spacing w:before="0" w:beforeAutospacing="0" w:after="0" w:afterAutospacing="0"/>
              <w:ind w:left="0" w:right="0"/>
              <w:jc w:val="both"/>
              <w:rPr>
                <w:rFonts w:hint="eastAsia" w:eastAsia="华文中宋"/>
                <w:lang w:val="en-US" w:eastAsia="zh-CN"/>
              </w:rPr>
            </w:pPr>
          </w:p>
        </w:tc>
      </w:tr>
    </w:tbl>
    <w:p w14:paraId="4A85C34B">
      <w:pPr>
        <w:pStyle w:val="15"/>
        <w:spacing w:line="360" w:lineRule="auto"/>
        <w:ind w:firstLine="480"/>
        <w:rPr>
          <w:rFonts w:ascii="Times New Roman"/>
          <w:sz w:val="21"/>
          <w:szCs w:val="20"/>
        </w:rPr>
      </w:pPr>
      <w:r>
        <w:rPr>
          <w:rFonts w:hint="eastAsia" w:ascii="Times New Roman"/>
          <w:sz w:val="21"/>
          <w:szCs w:val="20"/>
        </w:rPr>
        <w:t>本文件参照GB/T1.1—2020《标准化工作导则 第1部分：标准化文件的结构和起草规则》的规定起草。</w:t>
      </w:r>
    </w:p>
    <w:p w14:paraId="08A20218">
      <w:pPr>
        <w:pStyle w:val="15"/>
        <w:spacing w:line="360" w:lineRule="auto"/>
        <w:ind w:firstLine="480"/>
        <w:rPr>
          <w:rFonts w:ascii="Times New Roman"/>
          <w:sz w:val="21"/>
          <w:szCs w:val="20"/>
        </w:rPr>
      </w:pPr>
      <w:r>
        <w:rPr>
          <w:rFonts w:hint="eastAsia" w:ascii="Times New Roman"/>
          <w:sz w:val="21"/>
          <w:szCs w:val="20"/>
        </w:rPr>
        <w:t>请注意本文件的某些内容可能涉及专利。本文件的发布机构不承担识别专利的责任。</w:t>
      </w:r>
    </w:p>
    <w:p w14:paraId="4A371122">
      <w:pPr>
        <w:pStyle w:val="15"/>
        <w:spacing w:line="360" w:lineRule="auto"/>
        <w:ind w:firstLine="480"/>
        <w:rPr>
          <w:rFonts w:ascii="Times New Roman"/>
          <w:sz w:val="21"/>
          <w:szCs w:val="20"/>
        </w:rPr>
      </w:pPr>
      <w:r>
        <w:rPr>
          <w:rFonts w:hint="eastAsia" w:ascii="Times New Roman"/>
          <w:sz w:val="21"/>
          <w:szCs w:val="20"/>
        </w:rPr>
        <w:t>本文件由中国中医科学院西苑医院提出。</w:t>
      </w:r>
    </w:p>
    <w:p w14:paraId="3D992AF4">
      <w:pPr>
        <w:pStyle w:val="15"/>
        <w:spacing w:line="360" w:lineRule="auto"/>
        <w:ind w:firstLine="480"/>
        <w:rPr>
          <w:rFonts w:ascii="Times New Roman"/>
          <w:sz w:val="21"/>
          <w:szCs w:val="20"/>
        </w:rPr>
      </w:pPr>
      <w:r>
        <w:rPr>
          <w:rFonts w:hint="eastAsia" w:ascii="Times New Roman"/>
          <w:sz w:val="21"/>
          <w:szCs w:val="20"/>
        </w:rPr>
        <w:t>本文件由中华中医药学会归口。</w:t>
      </w:r>
    </w:p>
    <w:p w14:paraId="3811B82B">
      <w:pPr>
        <w:pStyle w:val="15"/>
        <w:spacing w:line="360" w:lineRule="auto"/>
        <w:ind w:firstLine="480"/>
        <w:rPr>
          <w:rFonts w:ascii="Times New Roman"/>
          <w:sz w:val="21"/>
          <w:szCs w:val="20"/>
        </w:rPr>
      </w:pPr>
      <w:r>
        <w:rPr>
          <w:rFonts w:hint="eastAsia" w:ascii="Times New Roman"/>
          <w:sz w:val="21"/>
          <w:szCs w:val="20"/>
        </w:rPr>
        <w:t>本文件起草单位：中国中医科学院西苑医院、中国中医科学院广安门医院、山东中医药大学附属医院、广东省中山市中医院、长春中医药大学附属医院、天津中医药大学第一附属医院、北京中医药大学东直门医院、中国中医科学院望京医院、广州中医药大学第一附属医院、北京中医药大学第三附属医院、首都医科大学附属北京中医医院、上海交通大学医学院附属第九人民医院黄浦分院、上海长征医院、广州中医药大学东莞医院、广州中医药大学第一附属医院、广州医科大学附属第二医院、重庆市中医院、天津市和平区中医医院、浙江中医药大学、浙江中医药大学附属第三医院、杭州市中医院、河南省中西医结合医院、辽宁中医药大学附属医院、厦门市中医院、黑龙江中医药大学附属第二医院、青海大学科研院、青海大学附属医院。</w:t>
      </w:r>
    </w:p>
    <w:p w14:paraId="1AD3282F">
      <w:pPr>
        <w:pStyle w:val="15"/>
        <w:spacing w:line="360" w:lineRule="auto"/>
        <w:ind w:firstLine="480"/>
        <w:rPr>
          <w:rFonts w:ascii="Times New Roman"/>
          <w:sz w:val="21"/>
          <w:szCs w:val="20"/>
        </w:rPr>
      </w:pPr>
      <w:r>
        <w:rPr>
          <w:rFonts w:hint="eastAsia" w:ascii="Times New Roman"/>
          <w:sz w:val="21"/>
          <w:szCs w:val="20"/>
        </w:rPr>
        <w:t>本文件主要起草人：刘龙涛、吴敏、李运伦、李亮、郭家娟</w:t>
      </w:r>
    </w:p>
    <w:p w14:paraId="31B94F65">
      <w:pPr>
        <w:pStyle w:val="15"/>
        <w:spacing w:line="360" w:lineRule="auto"/>
        <w:ind w:firstLine="480"/>
        <w:rPr>
          <w:rFonts w:ascii="Times New Roman"/>
          <w:sz w:val="21"/>
          <w:szCs w:val="20"/>
        </w:rPr>
      </w:pPr>
      <w:r>
        <w:rPr>
          <w:rFonts w:hint="eastAsia" w:ascii="Times New Roman"/>
          <w:sz w:val="21"/>
          <w:szCs w:val="20"/>
        </w:rPr>
        <w:t>本文件其它起草人：李军、王培利、高铸烨、付长庚、张晓囡、王泽平、李晓雅、张立晶、张辰浩、吕仕超、王亚红、李平、周明学、王一波、梁春、王磊、吴辉、张竞之、任毅、曹云、朱爱松</w:t>
      </w:r>
      <w:bookmarkStart w:id="24" w:name="_GoBack"/>
      <w:bookmarkEnd w:id="24"/>
      <w:r>
        <w:rPr>
          <w:rFonts w:hint="eastAsia" w:ascii="Times New Roman"/>
          <w:sz w:val="21"/>
          <w:szCs w:val="20"/>
        </w:rPr>
        <w:t>、刘强、陈启兰、郭泉滢、于睿、杨莺、张泽、焦华琛、陈联发、陈会君、李啟恩、曹昌霞、孙长鑫、胡岚清、张子浩</w:t>
      </w:r>
    </w:p>
    <w:p w14:paraId="2D2791A3">
      <w:pPr>
        <w:pStyle w:val="15"/>
        <w:spacing w:line="360" w:lineRule="auto"/>
        <w:ind w:firstLine="480"/>
        <w:rPr>
          <w:rFonts w:ascii="Times New Roman"/>
          <w:sz w:val="21"/>
          <w:szCs w:val="20"/>
        </w:rPr>
      </w:pPr>
      <w:r>
        <w:rPr>
          <w:rFonts w:hint="eastAsia" w:ascii="Times New Roman"/>
          <w:sz w:val="21"/>
          <w:szCs w:val="20"/>
        </w:rPr>
        <w:t>本文件秘书：张晓囡</w:t>
      </w:r>
    </w:p>
    <w:p w14:paraId="620AD9AD">
      <w:pPr>
        <w:pStyle w:val="15"/>
        <w:spacing w:line="360" w:lineRule="auto"/>
        <w:ind w:firstLine="480"/>
        <w:rPr>
          <w:rFonts w:hint="default" w:ascii="Times New Roman" w:eastAsia="宋体"/>
          <w:sz w:val="21"/>
          <w:szCs w:val="20"/>
          <w:lang w:val="en-US" w:eastAsia="zh-CN"/>
        </w:rPr>
      </w:pPr>
      <w:r>
        <w:rPr>
          <w:rFonts w:hint="eastAsia" w:ascii="Times New Roman"/>
          <w:sz w:val="21"/>
          <w:szCs w:val="20"/>
        </w:rPr>
        <w:t>本文件执笔人：</w:t>
      </w:r>
      <w:r>
        <w:rPr>
          <w:rFonts w:hint="eastAsia" w:ascii="Times New Roman"/>
          <w:sz w:val="21"/>
          <w:szCs w:val="20"/>
          <w:lang w:val="en-US" w:eastAsia="zh-CN"/>
        </w:rPr>
        <w:t>刘昕怡、袁永芳、张晓囡、刘龙涛</w:t>
      </w:r>
    </w:p>
    <w:p w14:paraId="5BEE073E">
      <w:pPr>
        <w:pStyle w:val="15"/>
        <w:ind w:firstLine="420"/>
        <w:rPr>
          <w:rFonts w:hint="eastAsia" w:hAnsi="宋体"/>
        </w:rPr>
      </w:pPr>
    </w:p>
    <w:p w14:paraId="5598BF9F">
      <w:pPr>
        <w:pStyle w:val="15"/>
        <w:ind w:firstLine="420"/>
      </w:pPr>
      <w:r>
        <w:br w:type="page"/>
      </w:r>
    </w:p>
    <w:p w14:paraId="5FFC1864">
      <w:pPr>
        <w:pStyle w:val="22"/>
      </w:pPr>
      <w:bookmarkStart w:id="0" w:name="_Toc509933847"/>
      <w:bookmarkStart w:id="1" w:name="_Toc436205034"/>
      <w:bookmarkStart w:id="2" w:name="_Toc510534526"/>
      <w:r>
        <w:rPr>
          <w:rFonts w:hint="eastAsia"/>
        </w:rPr>
        <w:t>引</w:t>
      </w:r>
      <w:bookmarkStart w:id="3" w:name="BKYY"/>
      <w:r>
        <w:t> </w:t>
      </w:r>
      <w:r>
        <w:rPr>
          <w:rFonts w:hint="eastAsia"/>
        </w:rPr>
        <w:t>言</w:t>
      </w:r>
      <w:bookmarkEnd w:id="0"/>
      <w:bookmarkEnd w:id="1"/>
      <w:bookmarkEnd w:id="2"/>
      <w:bookmarkEnd w:id="3"/>
    </w:p>
    <w:p w14:paraId="6540A82A">
      <w:pPr>
        <w:pStyle w:val="15"/>
        <w:spacing w:line="360" w:lineRule="auto"/>
        <w:ind w:firstLine="420" w:firstLineChars="0"/>
      </w:pPr>
      <w:r>
        <w:rPr>
          <w:rFonts w:hint="eastAsia"/>
        </w:rPr>
        <w:t>辨证论治是中医理论的基础和核心，病证结合是中西医结合的临床诊疗特色。</w:t>
      </w:r>
      <w:r>
        <w:t>目前，随着循证医学理念的发展，中医学也面临着客观化、标准化与精准化的研究需求。为充分发挥</w:t>
      </w:r>
      <w:r>
        <w:rPr>
          <w:rFonts w:hint="eastAsia"/>
        </w:rPr>
        <w:t>中医学</w:t>
      </w:r>
      <w:r>
        <w:t>在慢病管理、</w:t>
      </w:r>
      <w:r>
        <w:rPr>
          <w:rFonts w:hAnsi="宋体"/>
        </w:rPr>
        <w:t>“治未病”等领域的优势，“病证结合”</w:t>
      </w:r>
      <w:r>
        <w:t>已成为</w:t>
      </w:r>
      <w:r>
        <w:rPr>
          <w:rFonts w:hint="eastAsia"/>
        </w:rPr>
        <w:t>目前</w:t>
      </w:r>
      <w:r>
        <w:t>中西医结合研究领域的核心方向</w:t>
      </w:r>
      <w:r>
        <w:rPr>
          <w:rFonts w:ascii="Times New Roman"/>
          <w:sz w:val="24"/>
          <w:szCs w:val="28"/>
        </w:rPr>
        <w:fldChar w:fldCharType="begin"/>
      </w:r>
      <w:r>
        <w:rPr>
          <w:rFonts w:ascii="Times New Roman"/>
          <w:sz w:val="24"/>
          <w:szCs w:val="28"/>
        </w:rPr>
        <w:instrText xml:space="preserve"> ADDIN ZOTERO_ITEM CSL_CITATION {"citationID":"mxl00g6y","properties":{"formattedCitation":"\\super [1]\\nosupersub{}","plainCitation":"[1]","noteIndex":0},"citationItems":[{"id":3156,"uris":["http://zotero.org/users/14439893/items/EXNAAKGY"],"itemData":{</w:instrText>
      </w:r>
      <w:r>
        <w:rPr>
          <w:rFonts w:hint="eastAsia" w:ascii="Times New Roman"/>
          <w:sz w:val="24"/>
          <w:szCs w:val="28"/>
        </w:rPr>
        <w:instrText xml:space="preserve">"id":3156,"type":"article-journal","abstract":"本文通过具体的事例说明了西医疾病诊断与中医辨证相结合的病证结合临床诊疗和研究模式是重要的中西医结合临床研究模式。作者认为,病证结合的临床诊疗和研究模式是中医学历史发展的必然,病证结合在临床中的广泛应用是对中医学发展的巨大贡献,充分体现了中西医两种医学的优势互补,是中西医两种医学有机结合的表现形式,也是较高层次中西医结合的具体体现。","container-title":"世界科学技术","ISSN":"1674-3849","issue":"2","language":"zh-CN","page":"1-5","source":"CNKI","title":"病证结合的临床研究是中西医结合研究的重要模式","author":[{"literal":"陈可冀"},{"literal":"宋军"}],"issued":{"date-parts":[["2006"]]}}}],"schema":"https://github.com/citation-style-language/schema/raw/master/c</w:instrText>
      </w:r>
      <w:r>
        <w:rPr>
          <w:rFonts w:ascii="Times New Roman"/>
          <w:sz w:val="24"/>
          <w:szCs w:val="28"/>
        </w:rPr>
        <w:instrText xml:space="preserve">sl-citation.json"} </w:instrText>
      </w:r>
      <w:r>
        <w:rPr>
          <w:rFonts w:ascii="Times New Roman"/>
          <w:sz w:val="24"/>
          <w:szCs w:val="28"/>
        </w:rPr>
        <w:fldChar w:fldCharType="separate"/>
      </w:r>
      <w:r>
        <w:rPr>
          <w:rFonts w:ascii="Times New Roman"/>
          <w:sz w:val="24"/>
          <w:vertAlign w:val="superscript"/>
        </w:rPr>
        <w:t>[1]</w:t>
      </w:r>
      <w:r>
        <w:rPr>
          <w:rFonts w:ascii="Times New Roman"/>
          <w:sz w:val="24"/>
          <w:szCs w:val="28"/>
        </w:rPr>
        <w:fldChar w:fldCharType="end"/>
      </w:r>
      <w:r>
        <w:rPr>
          <w:rFonts w:hint="eastAsia" w:ascii="Times New Roman"/>
          <w:sz w:val="24"/>
          <w:szCs w:val="28"/>
        </w:rPr>
        <w:t>。</w:t>
      </w:r>
      <w:r>
        <w:rPr>
          <w:rFonts w:hint="eastAsia"/>
        </w:rPr>
        <w:t>病证结合</w:t>
      </w:r>
      <w:r>
        <w:t>诊断共识的规范化、标准化及量化不仅可以更好地适应于临床实际，而且适用于科学的统计方法，可促进中医学与西医及其他学科进行交流与合作。</w:t>
      </w:r>
    </w:p>
    <w:p w14:paraId="47960880">
      <w:pPr>
        <w:pStyle w:val="15"/>
        <w:spacing w:line="360" w:lineRule="auto"/>
        <w:ind w:firstLine="420" w:firstLineChars="0"/>
        <w:rPr>
          <w:rFonts w:hAnsi="宋体"/>
          <w:szCs w:val="21"/>
        </w:rPr>
      </w:pPr>
      <w:r>
        <w:rPr>
          <w:rFonts w:ascii="Times New Roman"/>
          <w:szCs w:val="21"/>
        </w:rPr>
        <w:t>不稳定性心绞痛（unstable angina, UA）是由动脉粥样硬化</w:t>
      </w:r>
      <w:r>
        <w:rPr>
          <w:rFonts w:hint="eastAsia" w:ascii="Times New Roman"/>
          <w:szCs w:val="21"/>
        </w:rPr>
        <w:t>（</w:t>
      </w:r>
      <w:r>
        <w:rPr>
          <w:rFonts w:ascii="Times New Roman"/>
          <w:bCs/>
          <w:szCs w:val="21"/>
        </w:rPr>
        <w:t>atherosclerosis, AS</w:t>
      </w:r>
      <w:r>
        <w:rPr>
          <w:rFonts w:hint="eastAsia" w:ascii="Times New Roman"/>
          <w:szCs w:val="21"/>
        </w:rPr>
        <w:t>）</w:t>
      </w:r>
      <w:r>
        <w:rPr>
          <w:rFonts w:ascii="Times New Roman"/>
          <w:szCs w:val="21"/>
        </w:rPr>
        <w:t>斑块发生破裂或糜烂导致的冠状动脉管腔急性不完全性阻塞，</w:t>
      </w:r>
      <w:r>
        <w:rPr>
          <w:rFonts w:hint="eastAsia" w:ascii="Times New Roman"/>
          <w:szCs w:val="21"/>
        </w:rPr>
        <w:t>是</w:t>
      </w:r>
      <w:r>
        <w:rPr>
          <w:rFonts w:ascii="Times New Roman"/>
          <w:szCs w:val="21"/>
        </w:rPr>
        <w:t>冠状动脉粥样硬化性心脏病（coronary heart diseases, CHD）的主要类型之一，与急性心肌梗死等不良预后的恶性心血管事件密切相关</w:t>
      </w:r>
      <w:r>
        <w:rPr>
          <w:rFonts w:ascii="Times New Roman"/>
          <w:szCs w:val="21"/>
        </w:rPr>
        <w:fldChar w:fldCharType="begin"/>
      </w:r>
      <w:r>
        <w:rPr>
          <w:rFonts w:ascii="Times New Roman"/>
          <w:szCs w:val="21"/>
        </w:rPr>
        <w:instrText xml:space="preserve"> ADDIN ZOTERO_ITEM CSL_CITATION {"citationID":"HMQRH1mb","properties":{"formattedCitation":"\\super [2]\\nosupersub{}","plainCitation":"[2]","noteIndex":0},"citationItems":[{"id":2091,"uris":["http://zotero.org/users/14439893/items/MA5N883L"],"itemData":{"id":2091,"type":"article-journal","abstract":"Although substantial progress has been made in the diagnosis and treatment of acute coronary syndromes, cardiovascular disease remains the leading cause of death globally, with nearly half of these deaths due to ischaemic heart disease. The broadening availability of high-sensitivity troponin assays has allowed for rapid rule-out algorithms in patients with suspected non-ST-segment elevated myocardial infarction (NSTEMI). Dual antiplatelet therapy is recommended for 12 months following an acute coronary syndrome in most patients, and additional secondary prevention measures including intensive lipid-lowering therapy (LDL-C &lt;1·4 mmol/L), neurohormonal agents, and lifestyle modification, are crucial. The scientific evidence for diagnosis and management of acute coronary syndromes continues to evolve rapidly, including adapting to the COVID-19 pandemic, which has impacted all aspects of care. This Seminar provides a clinically relevant overview of the pathobiology, diagnosis, and management of acute coronary syndromes, and describes key scientific advances.","container-title":"Lancet (London, England)","DOI":"10.1016/S0140-6736(21)02391-6","ISSN":"1474-547X","issue":"10332","journalAbbreviation":"Lancet","langua</w:instrText>
      </w:r>
      <w:r>
        <w:rPr>
          <w:rFonts w:hint="eastAsia" w:ascii="Times New Roman"/>
          <w:szCs w:val="21"/>
        </w:rPr>
        <w:instrText xml:space="preserve">ge":"eng","note":"JCR分区: Q1\n中科院分区升级版: 医学1区\n影响因子: 98.4\n5年影响因子: 106.9","page":"1347-1358","source":"PubMed","title":"Acute coronary syndromes","volume":"399","author":[{"family":"Bergmark","given":"Brian A."},{"family":"Mathenge","given":"Njambi"},{"fami</w:instrText>
      </w:r>
      <w:r>
        <w:rPr>
          <w:rFonts w:ascii="Times New Roman"/>
          <w:szCs w:val="21"/>
        </w:rPr>
        <w:instrText xml:space="preserve">ly":"Merlini","given":"Piera A."},{"family":"Lawrence-Wright","given":"Marilyn B."},{"family":"Giugliano","given":"Robert P."}],"issued":{"date-parts":[["2022",4,2]]}}}],"schema":"https://github.com/citation-style-language/schema/raw/master/csl-citation.json"} </w:instrText>
      </w:r>
      <w:r>
        <w:rPr>
          <w:rFonts w:ascii="Times New Roman"/>
          <w:szCs w:val="21"/>
        </w:rPr>
        <w:fldChar w:fldCharType="separate"/>
      </w:r>
      <w:r>
        <w:rPr>
          <w:rFonts w:ascii="Times New Roman"/>
          <w:szCs w:val="21"/>
          <w:vertAlign w:val="superscript"/>
        </w:rPr>
        <w:t>[2]</w:t>
      </w:r>
      <w:r>
        <w:rPr>
          <w:rFonts w:ascii="Times New Roman"/>
          <w:szCs w:val="21"/>
        </w:rPr>
        <w:fldChar w:fldCharType="end"/>
      </w:r>
      <w:r>
        <w:rPr>
          <w:rFonts w:ascii="Times New Roman"/>
          <w:szCs w:val="21"/>
        </w:rPr>
        <w:t>，已成为</w:t>
      </w:r>
      <w:r>
        <w:rPr>
          <w:rFonts w:hint="eastAsia" w:ascii="Times New Roman"/>
          <w:szCs w:val="21"/>
        </w:rPr>
        <w:t>我国</w:t>
      </w:r>
      <w:r>
        <w:rPr>
          <w:rFonts w:ascii="Times New Roman"/>
          <w:szCs w:val="21"/>
        </w:rPr>
        <w:t>重大公共卫生负担</w:t>
      </w:r>
      <w:r>
        <w:rPr>
          <w:rFonts w:ascii="Times New Roman"/>
          <w:szCs w:val="21"/>
        </w:rPr>
        <w:fldChar w:fldCharType="begin"/>
      </w:r>
      <w:r>
        <w:rPr>
          <w:rFonts w:ascii="Times New Roman"/>
          <w:szCs w:val="21"/>
        </w:rPr>
        <w:instrText xml:space="preserve"> ADDIN ZOTERO_ITEM CSL_CITATION {"citationID":"MckQViD1","properties":{"formattedCitation":"\\super [3]\\nosupersub{}","plainCitation":"[3]","noteIndex":0},"citationItems":[{"id":2094,"uris":["http://zotero.org/users/14439893/items/MYELEYQV"],"itemData":{</w:instrText>
      </w:r>
      <w:r>
        <w:rPr>
          <w:rFonts w:hint="eastAsia" w:ascii="Times New Roman"/>
          <w:szCs w:val="21"/>
        </w:rPr>
        <w:instrText xml:space="preserve">"id":2094,"type":"article-journal","abstract":"&amp;lt;正&amp;gt;随着社会经济的发展,国民生活方式的变化,尤其是人口老龄化及城镇化进程的加速,居民不健康的生活方式日益突出,心血管疾病（cardiovascular diseases,CVD）危险因素对居民健康的影响愈加显著,CVD的发病率仍持续增高。CVD给居民和社会带来的经济负担日渐加重,已成为重大的公共卫生问题,加强政府主导的CVD防治工作刻不容缓。国家心血管病中心自2005年以来,每年组织全国相关领域专家编撰《中国心血管健康与疾病报告》。《中国心血管健康与疾病报告2023》首次纳入了国家心血管病中心承担的项目资料,这些一手数据极大地丰富了年报的内容,也更加及时、全面地反映了我国CVD防治的状况。本文对最新出版的《中国心血管健康与疾病报告2023》&lt;sup&gt;[1]&lt;/sup&gt;要点内容进行解读,以期为CVD防治和相关政策的制定提供科学依据。","container-title":"中国心血管杂志","issue":"4","language":"zh-CN","note":"download: 12986\nalbum: 医药卫生科技\nCLC: R54\ndbcode: CJFQ\ndbname: CJFDLAST2024\nfilename: XIXG202404002","page":"305-324","source":"CNKI","title":"《中国心血管健康与疾病报告2023》要点解读","volume":"29","author":[{"literal":"刘明波"},{"literal":"何新叶"},{"literal":"杨晓红"},{"literal":"王增武"}],"issue</w:instrText>
      </w:r>
      <w:r>
        <w:rPr>
          <w:rFonts w:ascii="Times New Roman"/>
          <w:szCs w:val="21"/>
        </w:rPr>
        <w:instrText xml:space="preserve">d":{"date-parts":[["2024"]]}}}],"schema":"https://github.com/citation-style-language/schema/raw/master/csl-citation.json"} </w:instrText>
      </w:r>
      <w:r>
        <w:rPr>
          <w:rFonts w:ascii="Times New Roman"/>
          <w:szCs w:val="21"/>
        </w:rPr>
        <w:fldChar w:fldCharType="separate"/>
      </w:r>
      <w:r>
        <w:rPr>
          <w:rFonts w:ascii="Times New Roman"/>
          <w:szCs w:val="21"/>
          <w:vertAlign w:val="superscript"/>
        </w:rPr>
        <w:t>[3]</w:t>
      </w:r>
      <w:r>
        <w:rPr>
          <w:rFonts w:ascii="Times New Roman"/>
          <w:szCs w:val="21"/>
        </w:rPr>
        <w:fldChar w:fldCharType="end"/>
      </w:r>
      <w:r>
        <w:rPr>
          <w:rFonts w:ascii="Times New Roman"/>
          <w:szCs w:val="21"/>
        </w:rPr>
        <w:t>。中医药在缓解UA疼痛、降低心血管事件发生率和改善患者生活质量方面疗效确切，但目前仍缺乏规范的UA中医诊疗体系。中医证候是中医理论体系的基础和核心，能够连接临床辨治实践与基础研究，为中医药现代化研究提供了良好的立足点。现有UA中医诊疗专家共识虽总结归纳了常见证型，但仍未纳入全部证素，且其辨证诊断依据多以症状、体征为主，未将微观的、客观的证候诊断指标结合。因此，建立UA病证结合的诊断标准是至关重要的</w:t>
      </w:r>
      <w:r>
        <w:rPr>
          <w:rFonts w:hAnsi="宋体"/>
          <w:szCs w:val="21"/>
        </w:rPr>
        <w:t>。</w:t>
      </w:r>
      <w:r>
        <w:rPr>
          <w:rFonts w:hint="eastAsia" w:ascii="Times New Roman"/>
          <w:szCs w:val="21"/>
        </w:rPr>
        <w:t>“瘀毒致变”理论是</w:t>
      </w:r>
      <w:r>
        <w:rPr>
          <w:rFonts w:ascii="Times New Roman"/>
          <w:szCs w:val="21"/>
        </w:rPr>
        <w:t>陈可冀院士</w:t>
      </w:r>
      <w:r>
        <w:rPr>
          <w:rFonts w:hint="eastAsia" w:ascii="Times New Roman"/>
          <w:szCs w:val="21"/>
        </w:rPr>
        <w:t>根据</w:t>
      </w:r>
      <w:r>
        <w:rPr>
          <w:rFonts w:ascii="Times New Roman"/>
          <w:szCs w:val="21"/>
        </w:rPr>
        <w:t>多年</w:t>
      </w:r>
      <w:r>
        <w:rPr>
          <w:rFonts w:hint="eastAsia" w:ascii="Times New Roman"/>
          <w:szCs w:val="21"/>
        </w:rPr>
        <w:t>临床科研经验，针对急性心血管事件提出的病机理论，其核心是“因瘀致毒、因毒致变”的动态病变过程</w:t>
      </w:r>
      <w:r>
        <w:rPr>
          <w:rFonts w:ascii="Times New Roman"/>
          <w:szCs w:val="21"/>
          <w:vertAlign w:val="superscript"/>
        </w:rPr>
        <w:fldChar w:fldCharType="begin"/>
      </w:r>
      <w:r>
        <w:rPr>
          <w:rFonts w:ascii="Times New Roman"/>
          <w:szCs w:val="21"/>
          <w:vertAlign w:val="superscript"/>
        </w:rPr>
        <w:instrText xml:space="preserve"> ADDIN ZOTERO_ITEM CSL_CITATION {"citationID":"eDLTMriJ","properties":{"formattedCitation":"\\super [4]\\nosupersub{}","plainCitation":"[4]","noteIndex":0},"citationItems":[{"id":152,"uris":["http://zotero.org/users/14439893/items/7LDSMXS9"],"itemData":{"</w:instrText>
      </w:r>
      <w:r>
        <w:rPr>
          <w:rFonts w:hint="eastAsia" w:ascii="Times New Roman"/>
          <w:szCs w:val="21"/>
          <w:vertAlign w:val="superscript"/>
        </w:rPr>
        <w:instrText xml:space="preserve">id":152,"type":"article-journal","abstract":"冠状动脉粥样硬化性心脏病(coronary atherosclerotic heart disease,CAHD)简称冠心病,是目前我国成人心脏病住院和死亡的主要原因。冠心病属中医学\"胸痹\"、\"心痛\"、\"真心痛\"等范畴,古今文献论述颇丰,其病因病机多归纳为本虚标实:本虚为阴阳气血之不足,标实则以血瘀、痰浊、寒凝、气滞多见,但\"瘀阻血脉\"往往贯穿于冠心病发病的整个过程。随着冠心病炎症反应病理机制研究的不断深入,其中医病因病机亦不断得到新的阐释。笔者在总结古代文献","container-title":"中国中西医结合杂志","ISSN":"1003-5370","issue":"11","language":"zh-CN","page":"1378-1380","source":"CNKI","title":"从“因瘀致毒”谈冠心病的病因病机","volume":"35","author":[{"literal":"刘龙涛"},{"literal":"陈可冀"},{"literal":"付长庚"},{"literal":"徐浩"},{"literal":"史大卓"}],"issued":{"date-parts":[["2015"]]}}}],"schema":"https://github.com/citation-style-language/schema/raw/master/csl-citation.json"} </w:instrText>
      </w:r>
      <w:r>
        <w:rPr>
          <w:rFonts w:ascii="Times New Roman"/>
          <w:szCs w:val="21"/>
          <w:vertAlign w:val="superscript"/>
        </w:rPr>
        <w:fldChar w:fldCharType="separate"/>
      </w:r>
      <w:r>
        <w:rPr>
          <w:rFonts w:ascii="Times New Roman"/>
          <w:szCs w:val="21"/>
          <w:vertAlign w:val="superscript"/>
        </w:rPr>
        <w:t>[4]</w:t>
      </w:r>
      <w:r>
        <w:rPr>
          <w:rFonts w:ascii="Times New Roman"/>
          <w:szCs w:val="21"/>
          <w:vertAlign w:val="superscript"/>
        </w:rPr>
        <w:fldChar w:fldCharType="end"/>
      </w:r>
      <w:r>
        <w:rPr>
          <w:rFonts w:hint="eastAsia" w:ascii="Times New Roman"/>
          <w:szCs w:val="21"/>
        </w:rPr>
        <w:t>。</w:t>
      </w:r>
      <w:r>
        <w:rPr>
          <w:rFonts w:hint="eastAsia" w:ascii="Times New Roman"/>
          <w:szCs w:val="21"/>
          <w:lang w:eastAsia="zh-CN"/>
        </w:rPr>
        <w:t>随着</w:t>
      </w:r>
      <w:r>
        <w:rPr>
          <w:rFonts w:hint="eastAsia" w:ascii="Times New Roman"/>
          <w:szCs w:val="21"/>
        </w:rPr>
        <w:t>临床实践的不断深入，益气扶正、清热解毒已成为UA的主要中医治则</w:t>
      </w:r>
      <w:r>
        <w:rPr>
          <w:rFonts w:ascii="Times New Roman"/>
          <w:szCs w:val="21"/>
          <w:vertAlign w:val="superscript"/>
        </w:rPr>
        <w:fldChar w:fldCharType="begin"/>
      </w:r>
      <w:r>
        <w:rPr>
          <w:rFonts w:ascii="Times New Roman"/>
          <w:szCs w:val="21"/>
          <w:vertAlign w:val="superscript"/>
        </w:rPr>
        <w:instrText xml:space="preserve"> ADDIN ZOTERO_ITEM CSL_CITATION {"citationID":"SFVVHFMr","properties":{"formattedCitation":"\\super [5]\\nosupersub{}","plainCitation":"[5]","noteIndex":0},"citationItems":[{"id":91,"uris":["http://zotero.org/users/14439893/items/YFAXAVBZ"],"itemData":{"i</w:instrText>
      </w:r>
      <w:r>
        <w:rPr>
          <w:rFonts w:hint="eastAsia" w:ascii="Times New Roman"/>
          <w:szCs w:val="21"/>
          <w:vertAlign w:val="superscript"/>
        </w:rPr>
        <w:instrText xml:space="preserve">d":91,"type":"article-journal","container-title":"中西医结合心脑血管病杂志","ISSN":"1672-1349","issue":"7","language":"zh-CN","page":"634-636","source":"CNKI","title":"陈可冀院士治疗冠心病心绞痛学术思想与经验","author":[{"literal":"张京春"}],"issued":{"date-parts":[["2005"]]}}}],"schema":"</w:instrText>
      </w:r>
      <w:r>
        <w:rPr>
          <w:rFonts w:ascii="Times New Roman"/>
          <w:szCs w:val="21"/>
          <w:vertAlign w:val="superscript"/>
        </w:rPr>
        <w:instrText xml:space="preserve">https://github.com/citation-style-language/schema/raw/master/csl-citation.json"} </w:instrText>
      </w:r>
      <w:r>
        <w:rPr>
          <w:rFonts w:ascii="Times New Roman"/>
          <w:szCs w:val="21"/>
          <w:vertAlign w:val="superscript"/>
        </w:rPr>
        <w:fldChar w:fldCharType="separate"/>
      </w:r>
      <w:r>
        <w:rPr>
          <w:rFonts w:ascii="Times New Roman"/>
          <w:szCs w:val="21"/>
          <w:vertAlign w:val="superscript"/>
        </w:rPr>
        <w:t>[5]</w:t>
      </w:r>
      <w:r>
        <w:rPr>
          <w:rFonts w:ascii="Times New Roman"/>
          <w:szCs w:val="21"/>
          <w:vertAlign w:val="superscript"/>
        </w:rPr>
        <w:fldChar w:fldCharType="end"/>
      </w:r>
      <w:r>
        <w:rPr>
          <w:rFonts w:hint="eastAsia" w:ascii="Times New Roman"/>
          <w:szCs w:val="21"/>
        </w:rPr>
        <w:t>。</w:t>
      </w:r>
      <w:r>
        <w:rPr>
          <w:rFonts w:ascii="Times New Roman"/>
          <w:szCs w:val="21"/>
        </w:rPr>
        <w:t>然瘀毒结聚者，虚当为首，气虚是胸痹、心痛病中瘀血形成的主要原因</w:t>
      </w:r>
      <w:r>
        <w:rPr>
          <w:rFonts w:ascii="Times New Roman"/>
          <w:szCs w:val="21"/>
        </w:rPr>
        <w:fldChar w:fldCharType="begin"/>
      </w:r>
      <w:r>
        <w:rPr>
          <w:rFonts w:ascii="Times New Roman"/>
          <w:szCs w:val="21"/>
        </w:rPr>
        <w:instrText xml:space="preserve"> ADDIN ZOTERO_ITEM CSL_CITATION {"citationID":"kkUE2PmM","properties":{"formattedCitation":"\\super [6]\\nosupersub{}","plainCitation":"[6]","noteIndex":0},"citationItems":[{"id":3415,"uris":["http://zotero.org/users/14439893/items/CYCSLZWA"],"itemData":{</w:instrText>
      </w:r>
      <w:r>
        <w:rPr>
          <w:rFonts w:hint="eastAsia" w:ascii="Times New Roman"/>
          <w:szCs w:val="21"/>
        </w:rPr>
        <w:instrText xml:space="preserve">"id":3415,"type":"article-journal","abstract":"动脉粥样硬化（AS）作为心血管疾病的主要病理基础，其斑块破裂导致血栓形成，是引发心血管事件的关键因素。以“瘀”“毒”病因病机为主论治AS的思路，忽略“虚”与AS的潜在联系及其病机演变规律。本文立足于正气亏虚，瘀毒致变的病机关键，阐释AS“虚为本，瘀为常，毒为变”的致病过程；以“虚瘀毒”理论为指导，探讨益气活血、化瘀防变、解毒稳斑的防治策略，以期为中西医结合防治AS提供新的思路和干预方案。","container-title":"中国医药导报","DOI":"10.20047/j.issn1673-7210.2025.27.20","issue":"27","language":"zh","page":"115-118","source":"CNKI","title":"基于“虚为本，瘀为常，毒为变”的动脉粥样硬化防治思路","volume":"22","author":[{"literal":"张晓囡"},{"literal":"吴敏"},{"literal":"刘昕怡"},{"literal":"胡岚清"},{"literal":"李晓雅"},{"literal":"刘龙涛"}],"issued":{"date-parts":[["2025"]]}}}],"schema":"https://github.com/citation-style-language/schema/raw/master/csl-citation.json"} </w:instrText>
      </w:r>
      <w:r>
        <w:rPr>
          <w:rFonts w:ascii="Times New Roman"/>
          <w:szCs w:val="21"/>
        </w:rPr>
        <w:fldChar w:fldCharType="separate"/>
      </w:r>
      <w:r>
        <w:rPr>
          <w:rFonts w:ascii="Times New Roman"/>
          <w:vertAlign w:val="superscript"/>
        </w:rPr>
        <w:t>[6]</w:t>
      </w:r>
      <w:r>
        <w:rPr>
          <w:rFonts w:ascii="Times New Roman"/>
          <w:szCs w:val="21"/>
        </w:rPr>
        <w:fldChar w:fldCharType="end"/>
      </w:r>
      <w:r>
        <w:rPr>
          <w:rFonts w:ascii="Times New Roman"/>
          <w:szCs w:val="21"/>
        </w:rPr>
        <w:t>。</w:t>
      </w:r>
      <w:r>
        <w:rPr>
          <w:rFonts w:hAnsi="宋体"/>
          <w:szCs w:val="21"/>
        </w:rPr>
        <w:t>“瘀”与“毒”</w:t>
      </w:r>
      <w:r>
        <w:rPr>
          <w:rFonts w:ascii="Times New Roman"/>
          <w:szCs w:val="21"/>
        </w:rPr>
        <w:t>互为因果，交结伏匿于血脉之中，持续损伤心体脉络，并进一步耗伤心气。心气愈虚，则推动之力愈弱，气血愈难以畅行，致使</w:t>
      </w:r>
      <w:r>
        <w:rPr>
          <w:rFonts w:hAnsi="宋体"/>
          <w:szCs w:val="21"/>
        </w:rPr>
        <w:t>“虚”“瘀”“毒”三者</w:t>
      </w:r>
      <w:r>
        <w:rPr>
          <w:rFonts w:ascii="Times New Roman"/>
          <w:szCs w:val="21"/>
        </w:rPr>
        <w:t>形成恶性循环。从临床特点上而言，虚瘀毒胶结难解，可见患者出现症状复杂、病情缠绵、反复发作等特点，同时具备病情传变迅速、预后不佳的潜在风险</w:t>
      </w:r>
      <w:r>
        <w:rPr>
          <w:rFonts w:hint="eastAsia" w:ascii="Times New Roman"/>
          <w:szCs w:val="21"/>
        </w:rPr>
        <w:t>。在此基础上延伸出“虚瘀毒”理论，提出UA气虚为本、血瘀为常、瘀毒为变的整体病机，将“虚瘀毒证”作为UA的独立证型开展研究讨论。</w:t>
      </w:r>
    </w:p>
    <w:p w14:paraId="642666DA">
      <w:pPr>
        <w:pStyle w:val="26"/>
        <w:spacing w:line="360" w:lineRule="auto"/>
        <w:rPr>
          <w:rFonts w:hint="eastAsia" w:ascii="Times New Roman" w:hAnsi="Times New Roman" w:eastAsia="宋体" w:cs="Times New Roman"/>
          <w:kern w:val="0"/>
          <w:sz w:val="18"/>
          <w:szCs w:val="18"/>
        </w:rPr>
      </w:pPr>
      <w:r>
        <w:rPr>
          <w:rFonts w:hint="eastAsia" w:ascii="Times New Roman" w:hAnsi="Times New Roman" w:eastAsia="宋体" w:cs="Times New Roman"/>
          <w:szCs w:val="21"/>
        </w:rPr>
        <w:t>作为UA的独立证型，如何早期准确诊断和辨识虚瘀毒证患者是UA临床诊疗中亟待解决的问题。</w:t>
      </w:r>
      <w:r>
        <w:rPr>
          <w:rFonts w:ascii="Times New Roman" w:hAnsi="Times New Roman" w:eastAsia="宋体" w:cs="Times New Roman"/>
          <w:szCs w:val="21"/>
        </w:rPr>
        <w:t>因此，本研究拟遵循中医诊断标准制定的步骤方法，采用多元证据整合的方法，通过古今文献研究</w:t>
      </w:r>
      <w:r>
        <w:rPr>
          <w:rFonts w:hint="eastAsia" w:ascii="Times New Roman" w:hAnsi="Times New Roman" w:eastAsia="宋体" w:cs="Times New Roman"/>
          <w:szCs w:val="21"/>
        </w:rPr>
        <w:t>、专家访谈研究</w:t>
      </w:r>
      <w:r>
        <w:rPr>
          <w:rFonts w:ascii="Times New Roman" w:hAnsi="Times New Roman" w:eastAsia="宋体" w:cs="Times New Roman"/>
          <w:szCs w:val="21"/>
        </w:rPr>
        <w:t>系统梳理UA</w:t>
      </w:r>
      <w:r>
        <w:rPr>
          <w:rFonts w:ascii="宋体" w:hAnsi="宋体" w:eastAsia="宋体" w:cs="Times New Roman"/>
          <w:szCs w:val="21"/>
        </w:rPr>
        <w:t>虚瘀毒</w:t>
      </w:r>
      <w:r>
        <w:rPr>
          <w:rFonts w:hint="eastAsia" w:ascii="宋体" w:hAnsi="宋体" w:eastAsia="宋体" w:cs="Times New Roman"/>
          <w:szCs w:val="21"/>
        </w:rPr>
        <w:t>证的临床特征，</w:t>
      </w:r>
      <w:r>
        <w:rPr>
          <w:rFonts w:ascii="Times New Roman" w:hAnsi="Times New Roman" w:eastAsia="宋体" w:cs="Times New Roman"/>
          <w:szCs w:val="21"/>
        </w:rPr>
        <w:t>以德尔菲法专家咨询汇集行业专家意见、筛选UA虚瘀毒证的特异性临床症状及理化指标，</w:t>
      </w:r>
      <w:r>
        <w:rPr>
          <w:rFonts w:hint="eastAsia" w:ascii="Times New Roman" w:hAnsi="Times New Roman" w:eastAsia="宋体" w:cs="Times New Roman"/>
          <w:szCs w:val="21"/>
        </w:rPr>
        <w:t>并开展诊断性试验验证诊断效能，</w:t>
      </w:r>
      <w:r>
        <w:rPr>
          <w:rFonts w:ascii="Times New Roman" w:hAnsi="Times New Roman" w:eastAsia="宋体" w:cs="Times New Roman"/>
          <w:szCs w:val="21"/>
        </w:rPr>
        <w:t>建立客观的UA虚瘀毒证</w:t>
      </w:r>
      <w:r>
        <w:rPr>
          <w:rFonts w:hint="eastAsia" w:ascii="Times New Roman" w:hAnsi="Times New Roman" w:eastAsia="宋体" w:cs="Times New Roman"/>
          <w:szCs w:val="21"/>
        </w:rPr>
        <w:t>量化</w:t>
      </w:r>
      <w:r>
        <w:rPr>
          <w:rFonts w:ascii="Times New Roman" w:hAnsi="Times New Roman" w:eastAsia="宋体" w:cs="Times New Roman"/>
          <w:szCs w:val="21"/>
        </w:rPr>
        <w:t>诊断标准，为临床准确诊断UA虚瘀毒证提供思路参考。</w:t>
      </w:r>
    </w:p>
    <w:p w14:paraId="78BEB797">
      <w:pPr>
        <w:pStyle w:val="15"/>
        <w:ind w:firstLine="420" w:firstLineChars="0"/>
        <w:rPr>
          <w:rFonts w:hint="eastAsia" w:hAnsi="宋体"/>
          <w:szCs w:val="21"/>
        </w:rPr>
      </w:pPr>
    </w:p>
    <w:p w14:paraId="7C804C6A">
      <w:pPr>
        <w:pStyle w:val="15"/>
        <w:ind w:firstLine="420"/>
      </w:pPr>
    </w:p>
    <w:p w14:paraId="610073B2">
      <w:pPr>
        <w:pStyle w:val="15"/>
        <w:ind w:firstLine="199" w:firstLineChars="95"/>
        <w:sectPr>
          <w:pgSz w:w="11906" w:h="16838"/>
          <w:pgMar w:top="1440" w:right="1797" w:bottom="1440" w:left="1797" w:header="1418" w:footer="1134" w:gutter="0"/>
          <w:pgNumType w:fmt="upperRoman" w:start="1"/>
          <w:cols w:space="720" w:num="1"/>
          <w:formProt w:val="0"/>
          <w:docGrid w:linePitch="312" w:charSpace="0"/>
        </w:sectPr>
      </w:pPr>
    </w:p>
    <w:tbl>
      <w:tblPr>
        <w:tblStyle w:val="8"/>
        <w:tblW w:w="0" w:type="auto"/>
        <w:tblInd w:w="0" w:type="dxa"/>
        <w:tblLayout w:type="fixed"/>
        <w:tblCellMar>
          <w:top w:w="0" w:type="dxa"/>
          <w:left w:w="0" w:type="dxa"/>
          <w:bottom w:w="0" w:type="dxa"/>
          <w:right w:w="0" w:type="dxa"/>
        </w:tblCellMar>
      </w:tblPr>
      <w:tblGrid>
        <w:gridCol w:w="8291"/>
      </w:tblGrid>
      <w:tr w14:paraId="55DC80BA">
        <w:tblPrEx>
          <w:tblCellMar>
            <w:top w:w="0" w:type="dxa"/>
            <w:left w:w="0" w:type="dxa"/>
            <w:bottom w:w="0" w:type="dxa"/>
            <w:right w:w="0" w:type="dxa"/>
          </w:tblCellMar>
        </w:tblPrEx>
        <w:trPr>
          <w:trHeight w:val="360" w:hRule="exact"/>
        </w:trPr>
        <w:tc>
          <w:tcPr>
            <w:tcW w:w="8291" w:type="dxa"/>
            <w:vAlign w:val="center"/>
          </w:tcPr>
          <w:p w14:paraId="221F99D9">
            <w:pPr>
              <w:keepNext w:val="0"/>
              <w:keepLines w:val="0"/>
              <w:suppressLineNumbers w:val="0"/>
              <w:spacing w:before="0" w:beforeAutospacing="0" w:after="0" w:afterAutospacing="0"/>
              <w:ind w:left="0" w:right="0"/>
              <w:jc w:val="center"/>
              <w:rPr>
                <w:rFonts w:hint="default"/>
              </w:rPr>
            </w:pPr>
            <w:r>
              <w:rPr>
                <w:rFonts w:hint="default" w:ascii="黑体" w:hAnsi="Times New Roman" w:eastAsia="黑体" w:cs="Times New Roman"/>
                <w:kern w:val="0"/>
                <w:sz w:val="32"/>
                <w:szCs w:val="20"/>
              </w:rPr>
              <w:t>不稳定性心绞痛虚瘀毒证诊断专家共识</w:t>
            </w:r>
          </w:p>
          <w:p w14:paraId="315DD759">
            <w:pPr>
              <w:keepNext w:val="0"/>
              <w:keepLines w:val="0"/>
              <w:suppressLineNumbers w:val="0"/>
              <w:spacing w:before="0" w:beforeAutospacing="0" w:after="0" w:afterAutospacing="0"/>
              <w:ind w:left="0" w:right="0"/>
              <w:rPr>
                <w:rFonts w:hint="default"/>
              </w:rPr>
            </w:pPr>
          </w:p>
          <w:p w14:paraId="781B500A">
            <w:pPr>
              <w:keepNext w:val="0"/>
              <w:keepLines w:val="0"/>
              <w:suppressLineNumbers w:val="0"/>
              <w:spacing w:before="0" w:beforeAutospacing="0" w:after="0" w:afterAutospacing="0"/>
              <w:ind w:left="0" w:right="0"/>
              <w:rPr>
                <w:rFonts w:hint="default"/>
              </w:rPr>
            </w:pPr>
          </w:p>
          <w:p w14:paraId="4ADA8040">
            <w:pPr>
              <w:keepNext w:val="0"/>
              <w:keepLines w:val="0"/>
              <w:suppressLineNumbers w:val="0"/>
              <w:spacing w:before="0" w:beforeAutospacing="0" w:after="0" w:afterAutospacing="0"/>
              <w:ind w:left="0" w:right="0"/>
              <w:rPr>
                <w:rFonts w:hint="default"/>
              </w:rPr>
            </w:pPr>
          </w:p>
          <w:p w14:paraId="3B76F164">
            <w:pPr>
              <w:keepNext w:val="0"/>
              <w:keepLines w:val="0"/>
              <w:suppressLineNumbers w:val="0"/>
              <w:spacing w:before="0" w:beforeAutospacing="0" w:after="0" w:afterAutospacing="0"/>
              <w:ind w:left="0" w:right="0"/>
              <w:rPr>
                <w:rFonts w:hint="default"/>
              </w:rPr>
            </w:pPr>
          </w:p>
          <w:p w14:paraId="5D175082">
            <w:pPr>
              <w:keepNext w:val="0"/>
              <w:keepLines w:val="0"/>
              <w:suppressLineNumbers w:val="0"/>
              <w:spacing w:before="0" w:beforeAutospacing="0" w:after="0" w:afterAutospacing="0"/>
              <w:ind w:left="0" w:right="0"/>
              <w:rPr>
                <w:rFonts w:hint="default"/>
              </w:rPr>
            </w:pPr>
          </w:p>
          <w:p w14:paraId="62787A7E">
            <w:pPr>
              <w:keepNext w:val="0"/>
              <w:keepLines w:val="0"/>
              <w:suppressLineNumbers w:val="0"/>
              <w:spacing w:before="0" w:beforeAutospacing="0" w:after="0" w:afterAutospacing="0"/>
              <w:ind w:left="0" w:right="0"/>
              <w:rPr>
                <w:rFonts w:hint="default"/>
              </w:rPr>
            </w:pPr>
          </w:p>
          <w:p w14:paraId="430029DC">
            <w:pPr>
              <w:keepNext w:val="0"/>
              <w:keepLines w:val="0"/>
              <w:suppressLineNumbers w:val="0"/>
              <w:spacing w:before="0" w:beforeAutospacing="0" w:after="0" w:afterAutospacing="0"/>
              <w:ind w:left="0" w:right="0"/>
              <w:rPr>
                <w:rFonts w:hint="default"/>
              </w:rPr>
            </w:pPr>
          </w:p>
          <w:p w14:paraId="7852C0F3">
            <w:pPr>
              <w:keepNext w:val="0"/>
              <w:keepLines w:val="0"/>
              <w:suppressLineNumbers w:val="0"/>
              <w:spacing w:before="0" w:beforeAutospacing="0" w:after="0" w:afterAutospacing="0"/>
              <w:ind w:left="0" w:right="0"/>
              <w:rPr>
                <w:rFonts w:hint="default"/>
              </w:rPr>
            </w:pPr>
          </w:p>
          <w:p w14:paraId="19C116ED">
            <w:pPr>
              <w:keepNext w:val="0"/>
              <w:keepLines w:val="0"/>
              <w:suppressLineNumbers w:val="0"/>
              <w:spacing w:before="0" w:beforeAutospacing="0" w:after="0" w:afterAutospacing="0"/>
              <w:ind w:left="0" w:right="0"/>
              <w:rPr>
                <w:rFonts w:hint="default"/>
              </w:rPr>
            </w:pPr>
          </w:p>
          <w:p w14:paraId="1F994443">
            <w:pPr>
              <w:keepNext w:val="0"/>
              <w:keepLines w:val="0"/>
              <w:suppressLineNumbers w:val="0"/>
              <w:spacing w:before="0" w:beforeAutospacing="0" w:after="0" w:afterAutospacing="0" w:line="360" w:lineRule="exact"/>
              <w:ind w:left="0" w:right="0"/>
              <w:jc w:val="center"/>
              <w:rPr>
                <w:rFonts w:hint="default" w:ascii="黑体" w:eastAsia="黑体"/>
                <w:sz w:val="32"/>
                <w:szCs w:val="32"/>
              </w:rPr>
            </w:pPr>
          </w:p>
        </w:tc>
      </w:tr>
      <w:tr w14:paraId="389C8737">
        <w:tblPrEx>
          <w:tblCellMar>
            <w:top w:w="0" w:type="dxa"/>
            <w:left w:w="0" w:type="dxa"/>
            <w:bottom w:w="0" w:type="dxa"/>
            <w:right w:w="0" w:type="dxa"/>
          </w:tblCellMar>
        </w:tblPrEx>
        <w:trPr>
          <w:trHeight w:val="316" w:hRule="exact"/>
        </w:trPr>
        <w:tc>
          <w:tcPr>
            <w:tcW w:w="8291" w:type="dxa"/>
          </w:tcPr>
          <w:p w14:paraId="074336DE">
            <w:pPr>
              <w:keepNext w:val="0"/>
              <w:keepLines w:val="0"/>
              <w:suppressLineNumbers w:val="0"/>
              <w:spacing w:before="0" w:beforeAutospacing="0" w:after="0" w:afterAutospacing="0"/>
              <w:ind w:left="0" w:right="0"/>
              <w:jc w:val="center"/>
              <w:rPr>
                <w:rFonts w:hint="default" w:ascii="黑体" w:eastAsia="黑体"/>
                <w:sz w:val="32"/>
                <w:szCs w:val="32"/>
              </w:rPr>
            </w:pPr>
          </w:p>
        </w:tc>
      </w:tr>
    </w:tbl>
    <w:p w14:paraId="67FC1508">
      <w:pPr>
        <w:pStyle w:val="14"/>
        <w:numPr>
          <w:ilvl w:val="0"/>
          <w:numId w:val="2"/>
        </w:numPr>
        <w:spacing w:before="240" w:beforeLines="100" w:after="240" w:afterLines="100"/>
        <w:rPr>
          <w:rFonts w:ascii="Times New Roman"/>
        </w:rPr>
      </w:pPr>
      <w:bookmarkStart w:id="4" w:name="_Toc459724774"/>
      <w:bookmarkStart w:id="5" w:name="_Toc459720143"/>
      <w:bookmarkStart w:id="6" w:name="_Toc459704603"/>
      <w:bookmarkStart w:id="7" w:name="_Toc509933849"/>
      <w:bookmarkStart w:id="8" w:name="_Toc510534528"/>
      <w:r>
        <w:rPr>
          <w:rFonts w:ascii="Times New Roman"/>
        </w:rPr>
        <w:t>范围</w:t>
      </w:r>
      <w:bookmarkEnd w:id="4"/>
      <w:bookmarkEnd w:id="5"/>
      <w:bookmarkEnd w:id="6"/>
      <w:bookmarkEnd w:id="7"/>
      <w:bookmarkEnd w:id="8"/>
      <w:r>
        <w:rPr>
          <w:rFonts w:hint="eastAsia" w:ascii="Times New Roman"/>
        </w:rPr>
        <w:t>（必备要素）</w:t>
      </w:r>
    </w:p>
    <w:p w14:paraId="454DE42F">
      <w:pPr>
        <w:pStyle w:val="15"/>
        <w:ind w:firstLine="420"/>
        <w:rPr>
          <w:rFonts w:hint="eastAsia"/>
        </w:rPr>
      </w:pPr>
      <w:bookmarkStart w:id="9" w:name="_Toc459724775"/>
      <w:bookmarkStart w:id="10" w:name="_Toc459720144"/>
      <w:bookmarkStart w:id="11" w:name="_Toc459704604"/>
      <w:r>
        <w:rPr>
          <w:rFonts w:hint="eastAsia"/>
        </w:rPr>
        <w:t>本文件给出了不稳定性心绞痛虚瘀毒证诊断专家共识。</w:t>
      </w:r>
    </w:p>
    <w:p w14:paraId="4CBFBBC2">
      <w:pPr>
        <w:pStyle w:val="15"/>
        <w:ind w:firstLine="420"/>
      </w:pPr>
      <w:r>
        <w:rPr>
          <w:rFonts w:hint="eastAsia"/>
        </w:rPr>
        <w:t>本文件适用于中、西医医疗机构、健康管理机构及中医心血管科的医务工作者，对18周岁及以上具有不稳定性心绞痛表现的疾病人群虚瘀毒证的诊断。</w:t>
      </w:r>
    </w:p>
    <w:p w14:paraId="7292D1DF">
      <w:pPr>
        <w:pStyle w:val="14"/>
        <w:numPr>
          <w:ilvl w:val="0"/>
          <w:numId w:val="2"/>
        </w:numPr>
        <w:spacing w:before="240" w:beforeLines="100" w:after="240" w:afterLines="100"/>
        <w:rPr>
          <w:rFonts w:ascii="Times New Roman"/>
        </w:rPr>
      </w:pPr>
      <w:bookmarkStart w:id="12" w:name="_Toc510534529"/>
      <w:bookmarkStart w:id="13" w:name="_Toc509933850"/>
      <w:r>
        <w:rPr>
          <w:rFonts w:ascii="Times New Roman"/>
        </w:rPr>
        <w:t>规范性引用文件</w:t>
      </w:r>
      <w:bookmarkEnd w:id="9"/>
      <w:bookmarkEnd w:id="10"/>
      <w:bookmarkEnd w:id="11"/>
      <w:bookmarkEnd w:id="12"/>
      <w:bookmarkEnd w:id="13"/>
      <w:r>
        <w:rPr>
          <w:rFonts w:hint="eastAsia" w:ascii="Times New Roman"/>
        </w:rPr>
        <w:t>（非必备要素）</w:t>
      </w:r>
    </w:p>
    <w:p w14:paraId="774761AC">
      <w:pPr>
        <w:pStyle w:val="15"/>
        <w:tabs>
          <w:tab w:val="center" w:pos="4201"/>
          <w:tab w:val="right" w:leader="dot" w:pos="9298"/>
        </w:tabs>
        <w:spacing w:line="360" w:lineRule="exact"/>
        <w:ind w:firstLine="420"/>
        <w:rPr>
          <w:rFonts w:hint="default" w:ascii="Times New Roman" w:hAnsi="Times New Roman" w:cs="Times New Roman"/>
          <w:color w:val="auto"/>
          <w:highlight w:val="none"/>
        </w:rPr>
      </w:pPr>
      <w:bookmarkStart w:id="14" w:name="_Toc459704605"/>
      <w:bookmarkEnd w:id="14"/>
      <w:bookmarkStart w:id="15" w:name="_Toc459724776"/>
      <w:bookmarkStart w:id="16" w:name="_Toc459720145"/>
      <w:r>
        <w:rPr>
          <w:rFonts w:hint="default" w:ascii="Times New Roman" w:hAnsi="Times New Roman" w:cs="Times New Roman"/>
          <w:color w:val="auto"/>
        </w:rPr>
        <w:t>下列文件对本文件的应用是必不可少的。凡是注日期的引用文件，仅注日期的版本适用于本文</w:t>
      </w:r>
      <w:r>
        <w:rPr>
          <w:rFonts w:hint="default" w:ascii="Times New Roman" w:hAnsi="Times New Roman" w:cs="Times New Roman"/>
          <w:color w:val="auto"/>
          <w:highlight w:val="none"/>
        </w:rPr>
        <w:t>件。凡是不注日期的引用文件，其最新版本（包括所有的修改单）适用于本文件。</w:t>
      </w:r>
    </w:p>
    <w:p w14:paraId="1B15559C">
      <w:pPr>
        <w:pStyle w:val="15"/>
        <w:tabs>
          <w:tab w:val="center" w:pos="4201"/>
          <w:tab w:val="right" w:leader="dot" w:pos="9298"/>
        </w:tabs>
        <w:spacing w:line="360" w:lineRule="exact"/>
        <w:ind w:firstLine="42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GB/T</w:t>
      </w:r>
      <w:r>
        <w:rPr>
          <w:rFonts w:hint="eastAsia" w:ascii="宋体" w:hAnsi="宋体" w:eastAsia="宋体" w:cs="宋体"/>
          <w:color w:val="auto"/>
          <w:highlight w:val="none"/>
          <w:lang w:val="en-US" w:eastAsia="zh-CN"/>
        </w:rPr>
        <w:t xml:space="preserve"> </w:t>
      </w:r>
      <w:r>
        <w:rPr>
          <w:rFonts w:hint="default" w:ascii="Times New Roman" w:hAnsi="Times New Roman" w:cs="Times New Roman"/>
          <w:color w:val="auto"/>
          <w:highlight w:val="none"/>
          <w:lang w:val="en-US" w:eastAsia="zh-CN"/>
        </w:rPr>
        <w:t>1.1-2020</w:t>
      </w:r>
      <w:r>
        <w:rPr>
          <w:rFonts w:hint="eastAsia" w:ascii="宋体" w:hAnsi="宋体" w:eastAsia="宋体" w:cs="宋体"/>
          <w:color w:val="auto"/>
          <w:highlight w:val="none"/>
          <w:lang w:val="en-US" w:eastAsia="zh-CN"/>
        </w:rPr>
        <w:t xml:space="preserve"> </w:t>
      </w:r>
      <w:r>
        <w:rPr>
          <w:rFonts w:hint="default" w:ascii="Times New Roman" w:hAnsi="Times New Roman" w:cs="Times New Roman"/>
          <w:color w:val="auto"/>
          <w:highlight w:val="none"/>
          <w:lang w:val="en-US" w:eastAsia="zh-CN"/>
        </w:rPr>
        <w:t>标准化工作导则第1部分：标准化文件的结构和起草规则</w:t>
      </w:r>
    </w:p>
    <w:p w14:paraId="0EF76A36">
      <w:pPr>
        <w:pStyle w:val="15"/>
        <w:tabs>
          <w:tab w:val="center" w:pos="4201"/>
          <w:tab w:val="right" w:leader="dot" w:pos="9298"/>
        </w:tabs>
        <w:wordWrap w:val="0"/>
        <w:spacing w:line="360" w:lineRule="exact"/>
        <w:ind w:firstLine="420"/>
        <w:rPr>
          <w:rFonts w:hint="default" w:ascii="Times New Roman" w:hAnsi="Times New Roman" w:cs="Times New Roman"/>
          <w:color w:val="auto"/>
        </w:rPr>
      </w:pPr>
      <w:r>
        <w:rPr>
          <w:rFonts w:hint="default" w:ascii="Times New Roman" w:hAnsi="Times New Roman" w:eastAsia="Helvetica" w:cs="Times New Roman"/>
          <w:i w:val="0"/>
          <w:iCs w:val="0"/>
          <w:caps w:val="0"/>
          <w:color w:val="auto"/>
          <w:spacing w:val="0"/>
          <w:sz w:val="21"/>
          <w:szCs w:val="21"/>
          <w:shd w:val="clear" w:fill="FFFFFF"/>
        </w:rPr>
        <w:t>GB/T 16751.1-2023</w:t>
      </w:r>
      <w:r>
        <w:rPr>
          <w:rFonts w:hint="default" w:ascii="Times New Roman" w:hAnsi="Times New Roman" w:cs="Times New Roman"/>
          <w:color w:val="auto"/>
        </w:rPr>
        <w:t>《中医临床诊疗术语 第1部分：疾病》</w:t>
      </w:r>
    </w:p>
    <w:p w14:paraId="0FF9413A">
      <w:pPr>
        <w:pStyle w:val="15"/>
        <w:tabs>
          <w:tab w:val="center" w:pos="4201"/>
          <w:tab w:val="right" w:leader="dot" w:pos="9298"/>
        </w:tabs>
        <w:wordWrap w:val="0"/>
        <w:spacing w:line="360" w:lineRule="exact"/>
        <w:ind w:firstLine="420"/>
        <w:rPr>
          <w:rFonts w:hint="default" w:ascii="Times New Roman" w:hAnsi="Times New Roman" w:cs="Times New Roman"/>
          <w:color w:val="auto"/>
          <w:lang w:eastAsia="zh-CN"/>
        </w:rPr>
      </w:pPr>
      <w:r>
        <w:rPr>
          <w:rFonts w:hint="default" w:ascii="Times New Roman" w:hAnsi="Times New Roman" w:eastAsia="宋体" w:cs="Times New Roman"/>
          <w:i w:val="0"/>
          <w:iCs w:val="0"/>
          <w:caps w:val="0"/>
          <w:color w:val="auto"/>
          <w:spacing w:val="0"/>
          <w:sz w:val="21"/>
          <w:szCs w:val="21"/>
          <w:shd w:val="clear" w:fill="FFFFFF"/>
        </w:rPr>
        <w:t>GB/T 16751.2-2021</w:t>
      </w:r>
      <w:r>
        <w:rPr>
          <w:rFonts w:hint="default" w:ascii="Times New Roman" w:hAnsi="Times New Roman" w:cs="Times New Roman"/>
          <w:color w:val="auto"/>
          <w:lang w:eastAsia="zh-CN"/>
        </w:rPr>
        <w:t>《</w:t>
      </w:r>
      <w:r>
        <w:rPr>
          <w:rFonts w:hint="default" w:ascii="Times New Roman" w:hAnsi="Times New Roman" w:cs="Times New Roman"/>
          <w:color w:val="auto"/>
        </w:rPr>
        <w:t>中医临床诊疗术语 第2部分：证候</w:t>
      </w:r>
      <w:r>
        <w:rPr>
          <w:rFonts w:hint="default" w:ascii="Times New Roman" w:hAnsi="Times New Roman" w:cs="Times New Roman"/>
          <w:color w:val="auto"/>
          <w:lang w:eastAsia="zh-CN"/>
        </w:rPr>
        <w:t>》</w:t>
      </w:r>
    </w:p>
    <w:p w14:paraId="225ED8FE">
      <w:pPr>
        <w:pStyle w:val="15"/>
        <w:tabs>
          <w:tab w:val="center" w:pos="4201"/>
          <w:tab w:val="right" w:leader="dot" w:pos="9298"/>
        </w:tabs>
        <w:spacing w:line="360" w:lineRule="exact"/>
        <w:ind w:firstLine="420"/>
        <w:rPr>
          <w:rFonts w:hint="eastAsia" w:ascii="Times New Roman" w:hAnsi="Times New Roman" w:cs="Times New Roman"/>
          <w:color w:val="auto"/>
          <w:lang w:eastAsia="zh-CN"/>
        </w:rPr>
      </w:pPr>
      <w:r>
        <w:rPr>
          <w:rFonts w:hint="eastAsia" w:ascii="Times New Roman" w:hAnsi="Times New Roman" w:cs="Times New Roman"/>
          <w:color w:val="auto"/>
          <w:lang w:eastAsia="zh-CN"/>
        </w:rPr>
        <w:t>GB/T</w:t>
      </w:r>
      <w:r>
        <w:rPr>
          <w:rFonts w:hint="eastAsia" w:ascii="宋体" w:hAnsi="宋体" w:eastAsia="宋体" w:cs="宋体"/>
          <w:color w:val="auto"/>
          <w:lang w:eastAsia="zh-CN"/>
        </w:rPr>
        <w:t xml:space="preserve"> </w:t>
      </w:r>
      <w:r>
        <w:rPr>
          <w:rFonts w:hint="eastAsia" w:ascii="Times New Roman" w:hAnsi="Times New Roman" w:cs="Times New Roman"/>
          <w:color w:val="auto"/>
          <w:lang w:eastAsia="zh-CN"/>
        </w:rPr>
        <w:t>15657-2021《</w:t>
      </w:r>
      <w:r>
        <w:rPr>
          <w:rFonts w:hint="eastAsia" w:ascii="Times New Roman" w:hAnsi="Times New Roman" w:cs="Times New Roman"/>
          <w:color w:val="auto"/>
        </w:rPr>
        <w:t>中医病证分类与代码</w:t>
      </w:r>
      <w:r>
        <w:rPr>
          <w:rFonts w:hint="eastAsia" w:ascii="Times New Roman" w:hAnsi="Times New Roman" w:cs="Times New Roman"/>
          <w:color w:val="auto"/>
          <w:lang w:eastAsia="zh-CN"/>
        </w:rPr>
        <w:t>》</w:t>
      </w:r>
    </w:p>
    <w:p w14:paraId="50546A3D">
      <w:pPr>
        <w:pStyle w:val="15"/>
        <w:tabs>
          <w:tab w:val="center" w:pos="4201"/>
          <w:tab w:val="right" w:leader="dot" w:pos="9298"/>
        </w:tabs>
        <w:spacing w:line="360" w:lineRule="exact"/>
        <w:ind w:firstLine="420"/>
        <w:rPr>
          <w:rFonts w:hint="eastAsia" w:ascii="Times New Roman" w:hAnsi="Times New Roman" w:cs="Times New Roman"/>
          <w:color w:val="auto"/>
          <w:lang w:eastAsia="zh-CN"/>
        </w:rPr>
      </w:pPr>
      <w:r>
        <w:rPr>
          <w:rFonts w:hint="eastAsia" w:ascii="Times New Roman" w:hAnsi="Times New Roman" w:cs="Times New Roman"/>
          <w:color w:val="auto"/>
          <w:lang w:eastAsia="zh-CN"/>
        </w:rPr>
        <w:t>《</w:t>
      </w:r>
      <w:r>
        <w:rPr>
          <w:rFonts w:hint="eastAsia" w:ascii="Times New Roman" w:hAnsi="Times New Roman" w:eastAsia="宋体" w:cs="Times New Roman"/>
          <w:sz w:val="24"/>
          <w:szCs w:val="21"/>
          <w:lang w:val="en-US" w:eastAsia="zh-CN" w:bidi="ar"/>
        </w:rPr>
        <w:t>中医临床常见症状术语规范</w:t>
      </w:r>
      <w:r>
        <w:rPr>
          <w:rFonts w:hint="default" w:ascii="Times New Roman" w:hAnsi="Times New Roman" w:eastAsia="宋体" w:cs="Times New Roman"/>
          <w:sz w:val="24"/>
          <w:szCs w:val="21"/>
          <w:lang w:val="en-US" w:eastAsia="zh-CN" w:bidi="ar"/>
        </w:rPr>
        <w:t xml:space="preserve"> </w:t>
      </w:r>
      <w:r>
        <w:rPr>
          <w:rFonts w:hint="eastAsia" w:ascii="Times New Roman" w:hAnsi="Times New Roman" w:eastAsia="宋体" w:cs="Times New Roman"/>
          <w:sz w:val="24"/>
          <w:szCs w:val="21"/>
          <w:lang w:val="en-US" w:eastAsia="zh-CN" w:bidi="ar"/>
        </w:rPr>
        <w:t>修订</w:t>
      </w:r>
      <w:r>
        <w:rPr>
          <w:rFonts w:hint="eastAsia" w:ascii="Times New Roman" w:hAnsi="Times New Roman" w:cs="Times New Roman"/>
          <w:sz w:val="24"/>
          <w:szCs w:val="21"/>
          <w:lang w:val="en-US" w:eastAsia="zh-CN" w:bidi="ar"/>
        </w:rPr>
        <w:t>(2015)</w:t>
      </w:r>
      <w:r>
        <w:rPr>
          <w:rFonts w:hint="eastAsia" w:ascii="Times New Roman" w:hAnsi="Times New Roman" w:cs="Times New Roman"/>
          <w:color w:val="auto"/>
          <w:lang w:eastAsia="zh-CN"/>
        </w:rPr>
        <w:t>》</w:t>
      </w:r>
    </w:p>
    <w:p w14:paraId="26D46E40">
      <w:pPr>
        <w:pStyle w:val="14"/>
        <w:numPr>
          <w:ilvl w:val="0"/>
          <w:numId w:val="2"/>
        </w:numPr>
        <w:spacing w:before="240" w:beforeLines="100" w:after="240" w:afterLines="100"/>
        <w:rPr>
          <w:rFonts w:ascii="Times New Roman"/>
        </w:rPr>
      </w:pPr>
      <w:bookmarkStart w:id="17" w:name="_Toc509933851"/>
      <w:bookmarkStart w:id="18" w:name="_Toc510534530"/>
      <w:bookmarkStart w:id="19" w:name="_Toc436205037"/>
      <w:r>
        <w:rPr>
          <w:rFonts w:hint="eastAsia" w:ascii="Times New Roman"/>
        </w:rPr>
        <w:t>术语和定义</w:t>
      </w:r>
      <w:bookmarkEnd w:id="17"/>
      <w:bookmarkEnd w:id="18"/>
      <w:bookmarkEnd w:id="19"/>
      <w:r>
        <w:rPr>
          <w:rFonts w:hint="eastAsia" w:ascii="Times New Roman"/>
        </w:rPr>
        <w:t>（非必备要素）</w:t>
      </w:r>
    </w:p>
    <w:p w14:paraId="33AF1AC0">
      <w:pPr>
        <w:pStyle w:val="15"/>
        <w:spacing w:line="360" w:lineRule="exact"/>
        <w:ind w:firstLine="420"/>
      </w:pPr>
      <w:bookmarkStart w:id="20" w:name="_Hlk92788667"/>
      <w:r>
        <w:rPr>
          <w:rFonts w:hint="eastAsia"/>
        </w:rPr>
        <w:t>下列术语和定义适用于本文件。</w:t>
      </w:r>
    </w:p>
    <w:bookmarkEnd w:id="20"/>
    <w:p w14:paraId="34B5EA38">
      <w:pPr>
        <w:pStyle w:val="15"/>
        <w:spacing w:line="360" w:lineRule="exact"/>
        <w:ind w:firstLine="0" w:firstLineChars="0"/>
        <w:rPr>
          <w:rFonts w:hint="default" w:ascii="Times New Roman" w:hAnsi="Times New Roman" w:eastAsia="黑体" w:cs="Times New Roman"/>
        </w:rPr>
      </w:pPr>
      <w:r>
        <w:rPr>
          <w:rFonts w:hint="default" w:ascii="Times New Roman" w:hAnsi="Times New Roman" w:eastAsia="黑体" w:cs="Times New Roman"/>
        </w:rPr>
        <w:t>3.1</w:t>
      </w:r>
    </w:p>
    <w:p w14:paraId="19FAE604">
      <w:pPr>
        <w:pStyle w:val="15"/>
        <w:spacing w:line="360" w:lineRule="exact"/>
        <w:ind w:firstLine="420"/>
        <w:rPr>
          <w:rFonts w:ascii="Times New Roman" w:eastAsia="黑体"/>
        </w:rPr>
      </w:pPr>
      <w:r>
        <w:rPr>
          <w:rFonts w:ascii="Times New Roman" w:eastAsia="黑体"/>
        </w:rPr>
        <w:t>不稳定性心绞痛 unstable angina</w:t>
      </w:r>
    </w:p>
    <w:p w14:paraId="05A1C6A7">
      <w:pPr>
        <w:pStyle w:val="15"/>
        <w:spacing w:line="360" w:lineRule="exact"/>
        <w:ind w:firstLine="420"/>
        <w:rPr>
          <w:rFonts w:ascii="Times New Roman"/>
        </w:rPr>
      </w:pPr>
      <w:r>
        <w:rPr>
          <w:rFonts w:ascii="Times New Roman"/>
        </w:rPr>
        <w:t>不稳定性心绞痛是指介于稳定性心绞痛和急性心肌梗死之间的一组临床心绞痛综合征</w:t>
      </w:r>
      <w:r>
        <w:rPr>
          <w:rFonts w:hint="eastAsia" w:ascii="Times New Roman"/>
          <w:vertAlign w:val="superscript"/>
          <w:lang w:val="en-US" w:eastAsia="zh-CN"/>
        </w:rPr>
        <w:t>[2]</w:t>
      </w:r>
      <w:r>
        <w:rPr>
          <w:rFonts w:ascii="Times New Roman"/>
        </w:rPr>
        <w:t>。</w:t>
      </w:r>
    </w:p>
    <w:p w14:paraId="56C6F511">
      <w:pPr>
        <w:pStyle w:val="15"/>
        <w:spacing w:line="360" w:lineRule="exact"/>
        <w:ind w:firstLine="0" w:firstLineChars="0"/>
        <w:rPr>
          <w:rFonts w:hint="eastAsia" w:ascii="Times New Roman" w:eastAsia="黑体"/>
          <w:lang w:val="en-US" w:eastAsia="zh-CN"/>
        </w:rPr>
      </w:pPr>
      <w:r>
        <w:rPr>
          <w:rFonts w:ascii="Times New Roman" w:eastAsia="黑体"/>
        </w:rPr>
        <w:t>3.</w:t>
      </w:r>
      <w:r>
        <w:rPr>
          <w:rFonts w:hint="eastAsia" w:ascii="Times New Roman" w:eastAsia="黑体"/>
          <w:lang w:val="en-US" w:eastAsia="zh-CN"/>
        </w:rPr>
        <w:t>2</w:t>
      </w:r>
    </w:p>
    <w:p w14:paraId="705312C8">
      <w:pPr>
        <w:pStyle w:val="15"/>
        <w:spacing w:line="360" w:lineRule="exact"/>
        <w:ind w:firstLine="420"/>
        <w:rPr>
          <w:rFonts w:ascii="Times New Roman"/>
        </w:rPr>
      </w:pPr>
      <w:r>
        <w:rPr>
          <w:rFonts w:ascii="Times New Roman" w:eastAsia="黑体"/>
        </w:rPr>
        <w:t>证候 syndrome</w:t>
      </w:r>
    </w:p>
    <w:p w14:paraId="102F1BFE">
      <w:pPr>
        <w:pStyle w:val="15"/>
        <w:spacing w:line="360" w:lineRule="exact"/>
        <w:ind w:firstLine="420"/>
        <w:rPr>
          <w:rFonts w:ascii="Times New Roman"/>
        </w:rPr>
      </w:pPr>
      <w:r>
        <w:rPr>
          <w:rFonts w:ascii="Times New Roman"/>
        </w:rPr>
        <w:t>证的外候，即疾病过程中一定阶段的病位、病因、病性、病势及机体抗病能力的强弱等本质有机联系的反应状态，表现为临床可被观察到的症状等。</w:t>
      </w:r>
    </w:p>
    <w:p w14:paraId="40D89B35">
      <w:pPr>
        <w:pStyle w:val="15"/>
        <w:spacing w:line="360" w:lineRule="exact"/>
        <w:ind w:firstLine="420"/>
        <w:rPr>
          <w:rFonts w:ascii="Times New Roman"/>
        </w:rPr>
      </w:pPr>
      <w:r>
        <w:rPr>
          <w:rFonts w:ascii="Times New Roman"/>
        </w:rPr>
        <w:t>[《中医药学名词（2004）》，术语及定义04.548]</w:t>
      </w:r>
    </w:p>
    <w:p w14:paraId="68FC932F">
      <w:pPr>
        <w:pStyle w:val="15"/>
        <w:spacing w:line="360" w:lineRule="exact"/>
        <w:ind w:firstLine="0" w:firstLineChars="0"/>
        <w:rPr>
          <w:rFonts w:hint="eastAsia" w:ascii="Times New Roman" w:eastAsia="黑体"/>
          <w:lang w:val="en-US" w:eastAsia="zh-CN"/>
        </w:rPr>
      </w:pPr>
      <w:r>
        <w:rPr>
          <w:rFonts w:ascii="Times New Roman" w:eastAsia="黑体"/>
        </w:rPr>
        <w:t>3.</w:t>
      </w:r>
      <w:r>
        <w:rPr>
          <w:rFonts w:hint="eastAsia" w:ascii="Times New Roman" w:eastAsia="黑体"/>
          <w:lang w:val="en-US" w:eastAsia="zh-CN"/>
        </w:rPr>
        <w:t>3</w:t>
      </w:r>
    </w:p>
    <w:p w14:paraId="280744D7">
      <w:pPr>
        <w:pStyle w:val="15"/>
        <w:spacing w:line="360" w:lineRule="exact"/>
        <w:ind w:firstLine="420"/>
        <w:rPr>
          <w:rFonts w:ascii="Times New Roman" w:eastAsia="黑体"/>
        </w:rPr>
      </w:pPr>
      <w:r>
        <w:rPr>
          <w:rFonts w:ascii="Times New Roman" w:eastAsia="黑体"/>
        </w:rPr>
        <w:t>气虚证 syndrome of qi deficiency</w:t>
      </w:r>
    </w:p>
    <w:p w14:paraId="06F46229">
      <w:pPr>
        <w:pStyle w:val="15"/>
        <w:spacing w:line="360" w:lineRule="exact"/>
        <w:ind w:firstLine="420"/>
        <w:rPr>
          <w:rFonts w:ascii="Times New Roman"/>
        </w:rPr>
      </w:pPr>
      <w:r>
        <w:rPr>
          <w:rFonts w:ascii="Times New Roman"/>
        </w:rPr>
        <w:t>元气不足，脏腑机能衰退，以气短乏力，神疲懒言，自汗，舌淡，脉虚等为常见的证候。</w:t>
      </w:r>
    </w:p>
    <w:p w14:paraId="02205D50">
      <w:pPr>
        <w:pStyle w:val="15"/>
        <w:spacing w:line="360" w:lineRule="exact"/>
        <w:ind w:firstLine="420"/>
        <w:rPr>
          <w:rFonts w:ascii="Times New Roman"/>
        </w:rPr>
      </w:pPr>
      <w:r>
        <w:rPr>
          <w:rFonts w:ascii="Times New Roman"/>
        </w:rPr>
        <w:t>[《中医药学名词（2004）》，术语及定义04.824]</w:t>
      </w:r>
    </w:p>
    <w:p w14:paraId="235706B0">
      <w:pPr>
        <w:pStyle w:val="15"/>
        <w:spacing w:line="360" w:lineRule="exact"/>
        <w:ind w:firstLine="0" w:firstLineChars="0"/>
        <w:rPr>
          <w:rFonts w:hint="eastAsia" w:ascii="Times New Roman" w:eastAsia="黑体"/>
          <w:lang w:eastAsia="zh-CN"/>
        </w:rPr>
      </w:pPr>
      <w:r>
        <w:rPr>
          <w:rFonts w:ascii="Times New Roman" w:eastAsia="黑体"/>
        </w:rPr>
        <w:t>3.</w:t>
      </w:r>
      <w:r>
        <w:rPr>
          <w:rFonts w:hint="eastAsia" w:ascii="Times New Roman" w:eastAsia="黑体"/>
          <w:lang w:val="en-US" w:eastAsia="zh-CN"/>
        </w:rPr>
        <w:t>4</w:t>
      </w:r>
    </w:p>
    <w:p w14:paraId="601E6226">
      <w:pPr>
        <w:pStyle w:val="15"/>
        <w:spacing w:line="360" w:lineRule="exact"/>
        <w:ind w:firstLine="420"/>
        <w:rPr>
          <w:rFonts w:ascii="Times New Roman" w:eastAsia="黑体"/>
        </w:rPr>
      </w:pPr>
      <w:r>
        <w:rPr>
          <w:rFonts w:ascii="Times New Roman" w:eastAsia="黑体"/>
        </w:rPr>
        <w:t>血瘀证 syndrome of blood stasis</w:t>
      </w:r>
    </w:p>
    <w:p w14:paraId="05225311">
      <w:pPr>
        <w:pStyle w:val="15"/>
        <w:spacing w:line="360" w:lineRule="exact"/>
        <w:ind w:firstLine="420"/>
        <w:rPr>
          <w:rFonts w:ascii="Times New Roman"/>
        </w:rPr>
      </w:pPr>
      <w:r>
        <w:rPr>
          <w:rFonts w:ascii="Times New Roman"/>
        </w:rPr>
        <w:t>瘀血内阻，血行不畅，以局部出现青紫肿块、疼痛拒按，或心、肝、脑等主要脏器瘀血阻络，功能障碍；或腹内肿块、刺痛不移、拒按；或出血紫暗成块，舌紫暗，脉弦涩等为常见症的证候。</w:t>
      </w:r>
    </w:p>
    <w:p w14:paraId="2118EB20">
      <w:pPr>
        <w:pStyle w:val="15"/>
        <w:spacing w:line="360" w:lineRule="exact"/>
        <w:ind w:firstLine="420"/>
        <w:rPr>
          <w:rFonts w:ascii="Times New Roman"/>
        </w:rPr>
      </w:pPr>
      <w:r>
        <w:rPr>
          <w:rFonts w:ascii="Times New Roman"/>
        </w:rPr>
        <w:t>[《中医药学名词（2004）》，术语及定义04.841]</w:t>
      </w:r>
    </w:p>
    <w:p w14:paraId="2B2C1821">
      <w:pPr>
        <w:pStyle w:val="15"/>
        <w:spacing w:line="360" w:lineRule="exact"/>
        <w:ind w:firstLine="0" w:firstLineChars="0"/>
        <w:rPr>
          <w:rFonts w:hint="eastAsia" w:ascii="Times New Roman" w:eastAsia="黑体"/>
          <w:lang w:val="en-US" w:eastAsia="zh-CN"/>
        </w:rPr>
      </w:pPr>
      <w:r>
        <w:rPr>
          <w:rFonts w:ascii="Times New Roman" w:eastAsia="黑体"/>
        </w:rPr>
        <w:t>3.</w:t>
      </w:r>
      <w:r>
        <w:rPr>
          <w:rFonts w:hint="eastAsia" w:ascii="Times New Roman" w:eastAsia="黑体"/>
          <w:lang w:val="en-US" w:eastAsia="zh-CN"/>
        </w:rPr>
        <w:t>5</w:t>
      </w:r>
    </w:p>
    <w:p w14:paraId="7C647BA1">
      <w:pPr>
        <w:pStyle w:val="15"/>
        <w:spacing w:line="360" w:lineRule="exact"/>
        <w:ind w:firstLine="420" w:firstLineChars="0"/>
        <w:rPr>
          <w:rFonts w:hint="default" w:ascii="Times New Roman" w:eastAsia="黑体"/>
          <w:lang w:val="en-US" w:eastAsia="zh-CN"/>
        </w:rPr>
      </w:pPr>
      <w:r>
        <w:rPr>
          <w:rFonts w:hint="eastAsia" w:ascii="Times New Roman" w:eastAsia="黑体"/>
          <w:lang w:val="en-US" w:eastAsia="zh-CN"/>
        </w:rPr>
        <w:t>毒邪证 syndrome/pattern of toxic pathogenic factors</w:t>
      </w:r>
    </w:p>
    <w:p w14:paraId="64270C4A">
      <w:pPr>
        <w:pStyle w:val="15"/>
        <w:spacing w:line="360" w:lineRule="exact"/>
        <w:ind w:firstLine="420"/>
        <w:rPr>
          <w:rFonts w:hint="default" w:ascii="Times New Roman"/>
          <w:lang w:val="en-US" w:eastAsia="zh-CN"/>
        </w:rPr>
      </w:pPr>
      <w:r>
        <w:rPr>
          <w:rFonts w:hint="default" w:ascii="Times New Roman"/>
          <w:lang w:val="en-US" w:eastAsia="zh-CN"/>
        </w:rPr>
        <w:t>泛指毒邪侵淫肌腠、筋骨、卫气营血，或流窜经络、脏腑所引起的一类证候。</w:t>
      </w:r>
    </w:p>
    <w:p w14:paraId="63FFC913">
      <w:pPr>
        <w:pStyle w:val="15"/>
        <w:spacing w:line="360" w:lineRule="exact"/>
        <w:rPr>
          <w:rFonts w:hint="eastAsia" w:ascii="Times New Roman"/>
          <w:lang w:val="en-US" w:eastAsia="zh-CN"/>
        </w:rPr>
      </w:pPr>
      <w:r>
        <w:rPr>
          <w:rFonts w:ascii="Times New Roman"/>
        </w:rPr>
        <w:t>[《</w:t>
      </w:r>
      <w:r>
        <w:rPr>
          <w:rFonts w:hint="eastAsia" w:ascii="Times New Roman"/>
        </w:rPr>
        <w:t>中医临床诊疗术语 第</w:t>
      </w:r>
      <w:r>
        <w:rPr>
          <w:rFonts w:hint="eastAsia" w:ascii="Times New Roman"/>
          <w:lang w:val="en-US" w:eastAsia="zh-CN"/>
        </w:rPr>
        <w:t>2</w:t>
      </w:r>
      <w:r>
        <w:rPr>
          <w:rFonts w:hint="eastAsia" w:ascii="Times New Roman"/>
        </w:rPr>
        <w:t>部分：证候</w:t>
      </w:r>
      <w:r>
        <w:rPr>
          <w:rFonts w:ascii="Times New Roman"/>
        </w:rPr>
        <w:t>》，术语及定义4.8</w:t>
      </w:r>
      <w:r>
        <w:rPr>
          <w:rFonts w:hint="eastAsia" w:ascii="Times New Roman"/>
          <w:lang w:val="en-US" w:eastAsia="zh-CN"/>
        </w:rPr>
        <w:t>.</w:t>
      </w:r>
      <w:r>
        <w:rPr>
          <w:rFonts w:ascii="Times New Roman"/>
        </w:rPr>
        <w:t>1]</w:t>
      </w:r>
    </w:p>
    <w:p w14:paraId="650E7C74">
      <w:pPr>
        <w:pStyle w:val="15"/>
        <w:spacing w:line="360" w:lineRule="exact"/>
        <w:ind w:firstLine="0" w:firstLineChars="0"/>
        <w:rPr>
          <w:rFonts w:hint="eastAsia" w:ascii="Times New Roman" w:eastAsia="黑体"/>
          <w:lang w:eastAsia="zh-CN"/>
        </w:rPr>
      </w:pPr>
      <w:r>
        <w:rPr>
          <w:rFonts w:ascii="Times New Roman" w:eastAsia="黑体"/>
        </w:rPr>
        <w:t>3.</w:t>
      </w:r>
      <w:r>
        <w:rPr>
          <w:rFonts w:hint="eastAsia" w:ascii="Times New Roman" w:eastAsia="黑体"/>
          <w:lang w:val="en-US" w:eastAsia="zh-CN"/>
        </w:rPr>
        <w:t>6</w:t>
      </w:r>
    </w:p>
    <w:p w14:paraId="491EF854">
      <w:pPr>
        <w:pStyle w:val="15"/>
        <w:spacing w:line="360" w:lineRule="exact"/>
        <w:ind w:firstLine="420"/>
        <w:rPr>
          <w:rFonts w:ascii="Times New Roman" w:eastAsia="黑体"/>
        </w:rPr>
      </w:pPr>
      <w:r>
        <w:rPr>
          <w:rFonts w:ascii="Times New Roman" w:eastAsia="黑体"/>
        </w:rPr>
        <w:t>虚瘀毒证 fire-toxicity syndrome</w:t>
      </w:r>
    </w:p>
    <w:p w14:paraId="6B039AD0">
      <w:pPr>
        <w:pStyle w:val="15"/>
        <w:spacing w:line="360" w:lineRule="exact"/>
        <w:ind w:left="0" w:leftChars="0" w:firstLine="0" w:firstLineChars="0"/>
        <w:rPr>
          <w:rFonts w:hint="default" w:ascii="Times New Roman" w:hAnsi="Times New Roman" w:cs="Times New Roman"/>
          <w:lang w:val="en-US" w:eastAsia="zh-CN"/>
        </w:rPr>
      </w:pPr>
      <w:r>
        <w:rPr>
          <w:rFonts w:hint="eastAsia" w:ascii="Times New Roman" w:hAnsi="Times New Roman" w:cs="Times New Roman"/>
          <w:lang w:val="en-US" w:eastAsia="zh-CN"/>
        </w:rPr>
        <w:t>因心气亏虚，运血无力，血行瘀滞，瘀血内结化热酿毒，毒损血脉所致的证型。</w:t>
      </w:r>
    </w:p>
    <w:p w14:paraId="3B829CAB">
      <w:pPr>
        <w:pStyle w:val="15"/>
        <w:spacing w:line="360" w:lineRule="exact"/>
        <w:ind w:firstLine="0" w:firstLineChars="0"/>
        <w:rPr>
          <w:rFonts w:hint="eastAsia" w:ascii="Times New Roman" w:eastAsia="黑体"/>
          <w:lang w:eastAsia="zh-CN"/>
        </w:rPr>
      </w:pPr>
      <w:r>
        <w:rPr>
          <w:rFonts w:ascii="Times New Roman" w:eastAsia="黑体"/>
        </w:rPr>
        <w:t>3.</w:t>
      </w:r>
      <w:r>
        <w:rPr>
          <w:rFonts w:hint="eastAsia" w:ascii="Times New Roman" w:eastAsia="黑体"/>
          <w:lang w:val="en-US" w:eastAsia="zh-CN"/>
        </w:rPr>
        <w:t>7</w:t>
      </w:r>
    </w:p>
    <w:p w14:paraId="1DF34850">
      <w:pPr>
        <w:pStyle w:val="15"/>
        <w:spacing w:line="360" w:lineRule="exact"/>
        <w:ind w:firstLine="420"/>
        <w:rPr>
          <w:rFonts w:ascii="Times New Roman" w:eastAsia="黑体"/>
        </w:rPr>
      </w:pPr>
      <w:r>
        <w:rPr>
          <w:rFonts w:ascii="Times New Roman" w:eastAsia="黑体"/>
        </w:rPr>
        <w:t>胸痛 chest pain</w:t>
      </w:r>
    </w:p>
    <w:p w14:paraId="49A8D801">
      <w:pPr>
        <w:pStyle w:val="15"/>
        <w:spacing w:line="360" w:lineRule="exact"/>
        <w:ind w:firstLine="420"/>
        <w:rPr>
          <w:rFonts w:ascii="Times New Roman"/>
        </w:rPr>
      </w:pPr>
      <w:r>
        <w:rPr>
          <w:rFonts w:ascii="Times New Roman"/>
        </w:rPr>
        <w:t>胸部疼痛。</w:t>
      </w:r>
    </w:p>
    <w:p w14:paraId="40970597">
      <w:pPr>
        <w:pStyle w:val="15"/>
        <w:spacing w:line="360" w:lineRule="exact"/>
        <w:ind w:firstLine="420"/>
        <w:rPr>
          <w:rFonts w:ascii="Times New Roman"/>
        </w:rPr>
      </w:pPr>
      <w:r>
        <w:rPr>
          <w:rFonts w:ascii="Times New Roman"/>
        </w:rPr>
        <w:t>[《中医药学名词（2004）》，术语及定义04.316]</w:t>
      </w:r>
    </w:p>
    <w:p w14:paraId="7D7365A0">
      <w:pPr>
        <w:pStyle w:val="15"/>
        <w:spacing w:line="360" w:lineRule="exact"/>
        <w:ind w:firstLine="0" w:firstLineChars="0"/>
        <w:rPr>
          <w:rFonts w:hint="eastAsia" w:ascii="Times New Roman" w:eastAsia="黑体"/>
          <w:lang w:eastAsia="zh-CN"/>
        </w:rPr>
      </w:pPr>
      <w:r>
        <w:rPr>
          <w:rFonts w:ascii="Times New Roman" w:eastAsia="黑体"/>
        </w:rPr>
        <w:t>3.</w:t>
      </w:r>
      <w:r>
        <w:rPr>
          <w:rFonts w:hint="eastAsia" w:ascii="Times New Roman" w:eastAsia="黑体"/>
          <w:lang w:val="en-US" w:eastAsia="zh-CN"/>
        </w:rPr>
        <w:t>8</w:t>
      </w:r>
    </w:p>
    <w:p w14:paraId="0924D986">
      <w:pPr>
        <w:pStyle w:val="15"/>
        <w:spacing w:line="360" w:lineRule="exact"/>
        <w:ind w:firstLine="420"/>
        <w:rPr>
          <w:rFonts w:ascii="Times New Roman" w:eastAsia="黑体"/>
        </w:rPr>
      </w:pPr>
      <w:r>
        <w:rPr>
          <w:rFonts w:ascii="Times New Roman" w:eastAsia="黑体"/>
        </w:rPr>
        <w:t>隐痛 dull pain</w:t>
      </w:r>
    </w:p>
    <w:p w14:paraId="3086ED1B">
      <w:pPr>
        <w:pStyle w:val="15"/>
        <w:spacing w:line="360" w:lineRule="exact"/>
        <w:ind w:firstLine="420"/>
        <w:rPr>
          <w:rFonts w:ascii="Times New Roman"/>
        </w:rPr>
      </w:pPr>
      <w:r>
        <w:rPr>
          <w:rFonts w:ascii="Times New Roman"/>
        </w:rPr>
        <w:t>疼痛轻微，多时隐时现，绵绵不休。</w:t>
      </w:r>
    </w:p>
    <w:p w14:paraId="57978688">
      <w:pPr>
        <w:pStyle w:val="15"/>
        <w:spacing w:line="360" w:lineRule="exact"/>
        <w:ind w:firstLine="420"/>
      </w:pPr>
      <w:r>
        <w:rPr>
          <w:rFonts w:ascii="Times New Roman"/>
        </w:rPr>
        <w:t>[《中医药学名词（2004）》，术语及定义04.345]</w:t>
      </w:r>
    </w:p>
    <w:p w14:paraId="1556685D">
      <w:pPr>
        <w:pStyle w:val="15"/>
        <w:spacing w:line="360" w:lineRule="exact"/>
        <w:ind w:firstLine="0" w:firstLineChars="0"/>
        <w:rPr>
          <w:rFonts w:hint="eastAsia" w:ascii="Times New Roman" w:eastAsia="黑体"/>
          <w:lang w:eastAsia="zh-CN"/>
        </w:rPr>
      </w:pPr>
      <w:r>
        <w:rPr>
          <w:rFonts w:ascii="Times New Roman" w:eastAsia="黑体"/>
        </w:rPr>
        <w:t>3.</w:t>
      </w:r>
      <w:r>
        <w:rPr>
          <w:rFonts w:hint="eastAsia" w:ascii="Times New Roman" w:eastAsia="黑体"/>
          <w:lang w:val="en-US" w:eastAsia="zh-CN"/>
        </w:rPr>
        <w:t>9</w:t>
      </w:r>
    </w:p>
    <w:p w14:paraId="2BE7BBEE">
      <w:pPr>
        <w:pStyle w:val="15"/>
        <w:spacing w:line="360" w:lineRule="exact"/>
        <w:ind w:firstLine="420"/>
        <w:rPr>
          <w:rFonts w:ascii="Times New Roman" w:eastAsia="黑体"/>
        </w:rPr>
      </w:pPr>
      <w:r>
        <w:rPr>
          <w:rFonts w:ascii="Times New Roman" w:eastAsia="黑体"/>
        </w:rPr>
        <w:t>乏力 weakness</w:t>
      </w:r>
    </w:p>
    <w:p w14:paraId="066178A4">
      <w:pPr>
        <w:pStyle w:val="15"/>
        <w:spacing w:line="360" w:lineRule="exact"/>
        <w:ind w:firstLine="420"/>
        <w:rPr>
          <w:rFonts w:ascii="Times New Roman"/>
        </w:rPr>
      </w:pPr>
      <w:r>
        <w:rPr>
          <w:rFonts w:ascii="Times New Roman"/>
        </w:rPr>
        <w:t>自觉肢体懈怠，软弱无力的表现。</w:t>
      </w:r>
    </w:p>
    <w:p w14:paraId="16F437F4">
      <w:pPr>
        <w:pStyle w:val="15"/>
        <w:spacing w:line="360" w:lineRule="exact"/>
        <w:ind w:firstLine="420"/>
        <w:rPr>
          <w:rFonts w:ascii="Times New Roman"/>
        </w:rPr>
      </w:pPr>
      <w:r>
        <w:rPr>
          <w:rFonts w:ascii="Times New Roman"/>
        </w:rPr>
        <w:t>[《中医药学名词（2004）》，术语及定义04.385]</w:t>
      </w:r>
    </w:p>
    <w:p w14:paraId="5198F80A">
      <w:pPr>
        <w:pStyle w:val="15"/>
        <w:spacing w:line="360" w:lineRule="exact"/>
        <w:ind w:firstLine="0" w:firstLineChars="0"/>
        <w:rPr>
          <w:rFonts w:hint="eastAsia" w:ascii="Times New Roman" w:eastAsia="黑体"/>
          <w:lang w:eastAsia="zh-CN"/>
        </w:rPr>
      </w:pPr>
      <w:r>
        <w:rPr>
          <w:rFonts w:ascii="Times New Roman" w:eastAsia="黑体"/>
        </w:rPr>
        <w:t>3.1</w:t>
      </w:r>
      <w:r>
        <w:rPr>
          <w:rFonts w:hint="eastAsia" w:ascii="Times New Roman" w:eastAsia="黑体"/>
          <w:lang w:val="en-US" w:eastAsia="zh-CN"/>
        </w:rPr>
        <w:t>0</w:t>
      </w:r>
    </w:p>
    <w:p w14:paraId="3FE6F811">
      <w:pPr>
        <w:pStyle w:val="15"/>
        <w:spacing w:line="360" w:lineRule="exact"/>
        <w:ind w:firstLine="420"/>
        <w:rPr>
          <w:rFonts w:ascii="Times New Roman" w:eastAsia="黑体"/>
        </w:rPr>
      </w:pPr>
      <w:r>
        <w:rPr>
          <w:rFonts w:ascii="Times New Roman" w:eastAsia="黑体"/>
        </w:rPr>
        <w:t>神疲 spiritlessness</w:t>
      </w:r>
    </w:p>
    <w:p w14:paraId="3CE9C8F0">
      <w:pPr>
        <w:pStyle w:val="15"/>
        <w:spacing w:line="360" w:lineRule="exact"/>
        <w:ind w:firstLine="420"/>
        <w:rPr>
          <w:rFonts w:ascii="Times New Roman"/>
        </w:rPr>
      </w:pPr>
      <w:r>
        <w:rPr>
          <w:rFonts w:ascii="Times New Roman"/>
        </w:rPr>
        <w:t>自觉精神困倦的表现。</w:t>
      </w:r>
    </w:p>
    <w:p w14:paraId="5ACAA5B6">
      <w:pPr>
        <w:pStyle w:val="15"/>
        <w:spacing w:line="360" w:lineRule="exact"/>
        <w:ind w:firstLine="420"/>
        <w:rPr>
          <w:rFonts w:ascii="Times New Roman"/>
        </w:rPr>
      </w:pPr>
      <w:r>
        <w:rPr>
          <w:rFonts w:ascii="Times New Roman"/>
        </w:rPr>
        <w:t>[《中医药学名词（2004）》，术语及定义04.384]</w:t>
      </w:r>
    </w:p>
    <w:p w14:paraId="4B2FDA26">
      <w:pPr>
        <w:pStyle w:val="15"/>
        <w:spacing w:line="360" w:lineRule="exact"/>
        <w:ind w:left="0" w:leftChars="0"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11</w:t>
      </w:r>
    </w:p>
    <w:p w14:paraId="5BF3A71B">
      <w:pPr>
        <w:pStyle w:val="15"/>
        <w:spacing w:line="360" w:lineRule="exact"/>
        <w:ind w:firstLine="420"/>
        <w:rPr>
          <w:rFonts w:hint="default" w:ascii="Times New Roman"/>
          <w:lang w:val="en-US" w:eastAsia="zh-CN"/>
        </w:rPr>
      </w:pPr>
      <w:r>
        <w:rPr>
          <w:rFonts w:hint="eastAsia" w:ascii="Times New Roman" w:eastAsia="黑体"/>
          <w:lang w:val="en-US" w:eastAsia="zh-CN"/>
        </w:rPr>
        <w:t>气短</w:t>
      </w:r>
      <w:r>
        <w:rPr>
          <w:rFonts w:hint="eastAsia" w:ascii="Times New Roman"/>
          <w:lang w:val="en-US" w:eastAsia="zh-CN"/>
        </w:rPr>
        <w:t xml:space="preserve"> shortness of breath</w:t>
      </w:r>
    </w:p>
    <w:p w14:paraId="0D36FB07">
      <w:pPr>
        <w:pStyle w:val="15"/>
        <w:spacing w:line="360" w:lineRule="exact"/>
        <w:ind w:firstLine="420"/>
        <w:rPr>
          <w:rFonts w:hint="default" w:ascii="Times New Roman"/>
          <w:lang w:val="en-US" w:eastAsia="zh-CN"/>
        </w:rPr>
      </w:pPr>
      <w:r>
        <w:rPr>
          <w:rFonts w:hint="eastAsia" w:ascii="Times New Roman"/>
          <w:lang w:val="en-US" w:eastAsia="zh-CN"/>
        </w:rPr>
        <w:t>胸部满闷，气不足以续息。</w:t>
      </w:r>
    </w:p>
    <w:p w14:paraId="58CB6698">
      <w:pPr>
        <w:pStyle w:val="15"/>
        <w:spacing w:line="360" w:lineRule="exact"/>
        <w:ind w:firstLine="420"/>
        <w:rPr>
          <w:rFonts w:ascii="Times New Roman"/>
        </w:rPr>
      </w:pPr>
      <w:r>
        <w:rPr>
          <w:rFonts w:ascii="Times New Roman"/>
        </w:rPr>
        <w:t>[《《中医临床常见症状术语规范（2015）》，术语及定义P</w:t>
      </w:r>
      <w:r>
        <w:rPr>
          <w:rFonts w:hint="eastAsia" w:ascii="Times New Roman"/>
          <w:lang w:val="en-US" w:eastAsia="zh-CN"/>
        </w:rPr>
        <w:t>42</w:t>
      </w:r>
      <w:r>
        <w:rPr>
          <w:rFonts w:ascii="Times New Roman"/>
        </w:rPr>
        <w:t>]</w:t>
      </w:r>
    </w:p>
    <w:p w14:paraId="2114FF73">
      <w:pPr>
        <w:pStyle w:val="15"/>
        <w:spacing w:line="360" w:lineRule="exact"/>
        <w:ind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12</w:t>
      </w:r>
    </w:p>
    <w:p w14:paraId="3AC359D9">
      <w:pPr>
        <w:pStyle w:val="15"/>
        <w:spacing w:line="360" w:lineRule="exact"/>
        <w:ind w:firstLine="420"/>
        <w:rPr>
          <w:rFonts w:ascii="Times New Roman" w:eastAsia="黑体"/>
        </w:rPr>
      </w:pPr>
      <w:r>
        <w:rPr>
          <w:rFonts w:ascii="Times New Roman" w:eastAsia="黑体"/>
        </w:rPr>
        <w:t>少气懒言 qi deficiency and lazy speaking</w:t>
      </w:r>
    </w:p>
    <w:p w14:paraId="1CC953A2">
      <w:pPr>
        <w:pStyle w:val="15"/>
        <w:spacing w:line="360" w:lineRule="exact"/>
        <w:ind w:firstLine="420"/>
        <w:rPr>
          <w:rFonts w:ascii="Times New Roman"/>
        </w:rPr>
      </w:pPr>
      <w:r>
        <w:rPr>
          <w:rFonts w:ascii="Times New Roman"/>
        </w:rPr>
        <w:t>患者自觉身困疲乏，气短，不愿言语。</w:t>
      </w:r>
    </w:p>
    <w:p w14:paraId="6FF1B019">
      <w:pPr>
        <w:pStyle w:val="15"/>
        <w:spacing w:line="360" w:lineRule="exact"/>
        <w:ind w:firstLine="420"/>
        <w:rPr>
          <w:rFonts w:ascii="Times New Roman"/>
        </w:rPr>
      </w:pPr>
      <w:r>
        <w:rPr>
          <w:rFonts w:ascii="Times New Roman"/>
        </w:rPr>
        <w:t>[《中医临床常见症状术语规范（2015）》，术语及定义P86]</w:t>
      </w:r>
    </w:p>
    <w:p w14:paraId="7141AFD3">
      <w:pPr>
        <w:pStyle w:val="15"/>
        <w:spacing w:line="360" w:lineRule="exact"/>
        <w:ind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13</w:t>
      </w:r>
    </w:p>
    <w:p w14:paraId="5C740D39">
      <w:pPr>
        <w:pStyle w:val="15"/>
        <w:spacing w:line="360" w:lineRule="exact"/>
        <w:ind w:firstLine="420"/>
        <w:rPr>
          <w:rFonts w:ascii="Times New Roman" w:eastAsia="黑体"/>
        </w:rPr>
      </w:pPr>
      <w:r>
        <w:rPr>
          <w:rFonts w:ascii="Times New Roman" w:eastAsia="黑体"/>
        </w:rPr>
        <w:t>自汗 spontaneous sweating</w:t>
      </w:r>
    </w:p>
    <w:p w14:paraId="1DC83590">
      <w:pPr>
        <w:pStyle w:val="15"/>
        <w:spacing w:line="360" w:lineRule="exact"/>
        <w:ind w:firstLine="420"/>
        <w:rPr>
          <w:rFonts w:ascii="Times New Roman"/>
        </w:rPr>
      </w:pPr>
      <w:r>
        <w:rPr>
          <w:rFonts w:ascii="Times New Roman"/>
        </w:rPr>
        <w:t>不因劳累活动，不因天热及穿衣过暖和服用发散药物等因素而自然汗出的表现。</w:t>
      </w:r>
    </w:p>
    <w:p w14:paraId="31D4E43A">
      <w:pPr>
        <w:pStyle w:val="15"/>
        <w:spacing w:line="360" w:lineRule="exact"/>
        <w:ind w:firstLine="420"/>
        <w:rPr>
          <w:rFonts w:ascii="Times New Roman"/>
        </w:rPr>
      </w:pPr>
      <w:r>
        <w:rPr>
          <w:rFonts w:ascii="Times New Roman"/>
        </w:rPr>
        <w:t>[《中医药学名词（2004）》，术语及定义04.285]</w:t>
      </w:r>
    </w:p>
    <w:p w14:paraId="38D7FA89">
      <w:pPr>
        <w:pStyle w:val="15"/>
        <w:spacing w:line="360" w:lineRule="exact"/>
        <w:ind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14</w:t>
      </w:r>
    </w:p>
    <w:p w14:paraId="7ED08872">
      <w:pPr>
        <w:pStyle w:val="15"/>
        <w:spacing w:line="360" w:lineRule="exact"/>
        <w:ind w:firstLine="420"/>
        <w:rPr>
          <w:rFonts w:ascii="Times New Roman" w:eastAsia="黑体"/>
        </w:rPr>
      </w:pPr>
      <w:r>
        <w:rPr>
          <w:rFonts w:ascii="Times New Roman" w:eastAsia="黑体"/>
        </w:rPr>
        <w:t>大便秘结  constipation</w:t>
      </w:r>
    </w:p>
    <w:p w14:paraId="3B6028BC">
      <w:pPr>
        <w:pStyle w:val="15"/>
        <w:spacing w:line="360" w:lineRule="exact"/>
        <w:ind w:firstLine="420"/>
        <w:rPr>
          <w:rFonts w:ascii="Times New Roman"/>
        </w:rPr>
      </w:pPr>
      <w:r>
        <w:rPr>
          <w:rFonts w:ascii="Times New Roman"/>
        </w:rPr>
        <w:t>粪便干燥坚硬，排出困难，排便次数减少的表现。</w:t>
      </w:r>
    </w:p>
    <w:p w14:paraId="14AD9E63">
      <w:pPr>
        <w:pStyle w:val="15"/>
        <w:spacing w:line="360" w:lineRule="exact"/>
        <w:ind w:firstLine="420"/>
        <w:rPr>
          <w:rFonts w:ascii="Times New Roman"/>
        </w:rPr>
      </w:pPr>
      <w:r>
        <w:rPr>
          <w:rFonts w:ascii="Times New Roman"/>
        </w:rPr>
        <w:t>[《中医药学名词（2004）》，术语及定义04.443]</w:t>
      </w:r>
    </w:p>
    <w:p w14:paraId="298DF64B">
      <w:pPr>
        <w:pStyle w:val="15"/>
        <w:spacing w:line="360" w:lineRule="exact"/>
        <w:ind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15</w:t>
      </w:r>
    </w:p>
    <w:p w14:paraId="173E7389">
      <w:pPr>
        <w:pStyle w:val="15"/>
        <w:spacing w:line="360" w:lineRule="exact"/>
        <w:ind w:firstLine="420"/>
        <w:rPr>
          <w:rFonts w:ascii="Times New Roman" w:eastAsia="黑体"/>
        </w:rPr>
      </w:pPr>
      <w:r>
        <w:rPr>
          <w:rFonts w:ascii="Times New Roman" w:eastAsia="黑体"/>
        </w:rPr>
        <w:t>烦躁 dysphoria</w:t>
      </w:r>
    </w:p>
    <w:p w14:paraId="64C441EF">
      <w:pPr>
        <w:pStyle w:val="15"/>
        <w:spacing w:line="360" w:lineRule="exact"/>
        <w:ind w:firstLine="420"/>
        <w:rPr>
          <w:rFonts w:ascii="Times New Roman"/>
        </w:rPr>
      </w:pPr>
      <w:r>
        <w:rPr>
          <w:rFonts w:ascii="Times New Roman"/>
        </w:rPr>
        <w:t>心中烦闷不安，急躁易怒，甚则手足动作及行为举止躁动不宁的表现。</w:t>
      </w:r>
    </w:p>
    <w:p w14:paraId="341D4708">
      <w:pPr>
        <w:pStyle w:val="15"/>
        <w:spacing w:line="360" w:lineRule="exact"/>
        <w:ind w:firstLine="420"/>
        <w:rPr>
          <w:rFonts w:ascii="Times New Roman"/>
        </w:rPr>
      </w:pPr>
      <w:r>
        <w:rPr>
          <w:rFonts w:ascii="Times New Roman"/>
        </w:rPr>
        <w:t>[《中医药学名词（2004）》，术语及定义04.015]</w:t>
      </w:r>
    </w:p>
    <w:p w14:paraId="140B2282">
      <w:pPr>
        <w:pStyle w:val="15"/>
        <w:spacing w:line="360" w:lineRule="exact"/>
        <w:ind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16</w:t>
      </w:r>
    </w:p>
    <w:p w14:paraId="5781C8DA">
      <w:pPr>
        <w:pStyle w:val="15"/>
        <w:spacing w:line="360" w:lineRule="exact"/>
        <w:ind w:firstLine="420"/>
        <w:rPr>
          <w:rFonts w:ascii="Times New Roman" w:eastAsia="黑体"/>
        </w:rPr>
      </w:pPr>
      <w:r>
        <w:rPr>
          <w:rFonts w:ascii="Times New Roman" w:eastAsia="黑体"/>
        </w:rPr>
        <w:t>舌</w:t>
      </w:r>
      <w:r>
        <w:rPr>
          <w:rFonts w:hint="eastAsia" w:ascii="Times New Roman" w:eastAsia="黑体"/>
          <w:lang w:val="en-US" w:eastAsia="zh-CN"/>
        </w:rPr>
        <w:t>暗</w:t>
      </w:r>
      <w:r>
        <w:rPr>
          <w:rFonts w:ascii="Times New Roman" w:eastAsia="黑体"/>
        </w:rPr>
        <w:t xml:space="preserve"> thin tongue</w:t>
      </w:r>
    </w:p>
    <w:p w14:paraId="69489BBE">
      <w:pPr>
        <w:pStyle w:val="15"/>
        <w:spacing w:line="360" w:lineRule="exact"/>
        <w:ind w:firstLine="420"/>
        <w:rPr>
          <w:rFonts w:ascii="Times New Roman"/>
        </w:rPr>
      </w:pPr>
      <w:r>
        <w:rPr>
          <w:rFonts w:hint="eastAsia" w:ascii="Times New Roman"/>
          <w:lang w:val="en-US" w:eastAsia="zh-CN"/>
        </w:rPr>
        <w:t>舌体晦暗不泽的舌象</w:t>
      </w:r>
      <w:r>
        <w:rPr>
          <w:rFonts w:ascii="Times New Roman"/>
        </w:rPr>
        <w:t>。</w:t>
      </w:r>
    </w:p>
    <w:p w14:paraId="23DA765A">
      <w:pPr>
        <w:pStyle w:val="15"/>
        <w:spacing w:line="360" w:lineRule="exact"/>
        <w:ind w:firstLine="420"/>
        <w:rPr>
          <w:rFonts w:ascii="Times New Roman"/>
        </w:rPr>
      </w:pPr>
      <w:r>
        <w:rPr>
          <w:rFonts w:ascii="Times New Roman"/>
        </w:rPr>
        <w:t>[《中医药学名词（2004）》，术语及定义04.1</w:t>
      </w:r>
      <w:r>
        <w:rPr>
          <w:rFonts w:hint="eastAsia" w:ascii="Times New Roman"/>
          <w:lang w:val="en-US" w:eastAsia="zh-CN"/>
        </w:rPr>
        <w:t>61</w:t>
      </w:r>
      <w:r>
        <w:rPr>
          <w:rFonts w:ascii="Times New Roman"/>
        </w:rPr>
        <w:t>]</w:t>
      </w:r>
    </w:p>
    <w:p w14:paraId="2CD78625">
      <w:pPr>
        <w:pStyle w:val="15"/>
        <w:spacing w:line="360" w:lineRule="exact"/>
        <w:ind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17</w:t>
      </w:r>
    </w:p>
    <w:p w14:paraId="7A160748">
      <w:pPr>
        <w:pStyle w:val="15"/>
        <w:spacing w:line="360" w:lineRule="exact"/>
        <w:ind w:firstLine="420"/>
        <w:rPr>
          <w:rFonts w:ascii="Times New Roman" w:eastAsia="黑体"/>
        </w:rPr>
      </w:pPr>
      <w:r>
        <w:rPr>
          <w:rFonts w:ascii="Times New Roman" w:eastAsia="黑体"/>
        </w:rPr>
        <w:t>紫舌 purplish tongue</w:t>
      </w:r>
    </w:p>
    <w:p w14:paraId="41D99F21">
      <w:pPr>
        <w:pStyle w:val="15"/>
        <w:spacing w:line="360" w:lineRule="exact"/>
        <w:ind w:firstLine="420"/>
        <w:rPr>
          <w:rFonts w:ascii="Times New Roman"/>
        </w:rPr>
      </w:pPr>
      <w:r>
        <w:rPr>
          <w:rFonts w:ascii="Times New Roman"/>
        </w:rPr>
        <w:t>舌体呈深紫色或青紫色的舌象。</w:t>
      </w:r>
    </w:p>
    <w:p w14:paraId="01C4C01F">
      <w:pPr>
        <w:pStyle w:val="15"/>
        <w:spacing w:line="360" w:lineRule="exact"/>
        <w:ind w:firstLine="420"/>
        <w:rPr>
          <w:rFonts w:ascii="Times New Roman"/>
        </w:rPr>
      </w:pPr>
      <w:r>
        <w:rPr>
          <w:rFonts w:ascii="Times New Roman"/>
        </w:rPr>
        <w:t>[《中医药学名词（2004）》，术语及定义04.167]</w:t>
      </w:r>
    </w:p>
    <w:p w14:paraId="17AF0292">
      <w:pPr>
        <w:pStyle w:val="15"/>
        <w:spacing w:line="360" w:lineRule="exact"/>
        <w:ind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18</w:t>
      </w:r>
    </w:p>
    <w:p w14:paraId="678945E8">
      <w:pPr>
        <w:pStyle w:val="15"/>
        <w:spacing w:line="360" w:lineRule="exact"/>
        <w:ind w:firstLine="420"/>
        <w:rPr>
          <w:rFonts w:ascii="Times New Roman" w:eastAsia="黑体"/>
        </w:rPr>
      </w:pPr>
      <w:r>
        <w:rPr>
          <w:rFonts w:ascii="Times New Roman" w:eastAsia="黑体"/>
        </w:rPr>
        <w:t>舌生瘀斑 ecchymosis on tongue</w:t>
      </w:r>
    </w:p>
    <w:p w14:paraId="1C1A4EE7">
      <w:pPr>
        <w:pStyle w:val="15"/>
        <w:spacing w:line="360" w:lineRule="exact"/>
        <w:ind w:firstLine="420"/>
        <w:rPr>
          <w:rFonts w:ascii="Times New Roman"/>
        </w:rPr>
      </w:pPr>
      <w:r>
        <w:rPr>
          <w:rFonts w:ascii="Times New Roman"/>
        </w:rPr>
        <w:t>又称</w:t>
      </w:r>
      <w:r>
        <w:rPr>
          <w:rFonts w:hAnsi="宋体"/>
        </w:rPr>
        <w:t>“舌有瘀斑”。</w:t>
      </w:r>
      <w:r>
        <w:rPr>
          <w:rFonts w:ascii="Times New Roman"/>
        </w:rPr>
        <w:t>舌上出现青色、紫色或紫黑色斑点的舌象。</w:t>
      </w:r>
    </w:p>
    <w:p w14:paraId="37B8DF86">
      <w:pPr>
        <w:pStyle w:val="15"/>
        <w:spacing w:line="360" w:lineRule="exact"/>
        <w:ind w:firstLine="420"/>
        <w:rPr>
          <w:rFonts w:ascii="Times New Roman"/>
        </w:rPr>
      </w:pPr>
      <w:r>
        <w:rPr>
          <w:rFonts w:ascii="Times New Roman"/>
        </w:rPr>
        <w:t>[《中医药学名词（2004）》，术语及定义04.187]</w:t>
      </w:r>
    </w:p>
    <w:p w14:paraId="1C7C081E">
      <w:pPr>
        <w:pStyle w:val="15"/>
        <w:spacing w:line="360" w:lineRule="exact"/>
        <w:ind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19</w:t>
      </w:r>
    </w:p>
    <w:p w14:paraId="393B95D2">
      <w:pPr>
        <w:pStyle w:val="15"/>
        <w:spacing w:line="360" w:lineRule="exact"/>
        <w:ind w:firstLine="420"/>
        <w:rPr>
          <w:rFonts w:ascii="Times New Roman" w:eastAsia="黑体"/>
        </w:rPr>
      </w:pPr>
      <w:r>
        <w:rPr>
          <w:rFonts w:ascii="Times New Roman" w:eastAsia="黑体"/>
        </w:rPr>
        <w:t>舌有瘀点 petechiae on tongue</w:t>
      </w:r>
    </w:p>
    <w:p w14:paraId="7C7B9093">
      <w:pPr>
        <w:pStyle w:val="15"/>
        <w:spacing w:line="360" w:lineRule="exact"/>
        <w:ind w:firstLine="420"/>
        <w:rPr>
          <w:rFonts w:ascii="Times New Roman"/>
        </w:rPr>
      </w:pPr>
      <w:r>
        <w:rPr>
          <w:rFonts w:ascii="Times New Roman"/>
        </w:rPr>
        <w:t>舌面有小的暗紫色瘀血点。</w:t>
      </w:r>
    </w:p>
    <w:p w14:paraId="3F2DD07F">
      <w:pPr>
        <w:pStyle w:val="15"/>
        <w:spacing w:line="360" w:lineRule="exact"/>
        <w:ind w:firstLine="420"/>
        <w:rPr>
          <w:rFonts w:ascii="Times New Roman"/>
        </w:rPr>
      </w:pPr>
      <w:r>
        <w:rPr>
          <w:rFonts w:ascii="Times New Roman"/>
        </w:rPr>
        <w:t>[《中医临床常见症状术语规范（2015）》，术语及定义P66]</w:t>
      </w:r>
    </w:p>
    <w:p w14:paraId="65283208">
      <w:pPr>
        <w:pStyle w:val="15"/>
        <w:spacing w:line="360" w:lineRule="exact"/>
        <w:ind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20</w:t>
      </w:r>
    </w:p>
    <w:p w14:paraId="6DCAEE66">
      <w:pPr>
        <w:pStyle w:val="15"/>
        <w:spacing w:line="360" w:lineRule="exact"/>
        <w:ind w:firstLine="420"/>
        <w:rPr>
          <w:rFonts w:hint="default" w:ascii="Times New Roman" w:eastAsia="黑体"/>
          <w:lang w:val="en-US" w:eastAsia="zh-CN"/>
        </w:rPr>
      </w:pPr>
      <w:r>
        <w:rPr>
          <w:rFonts w:hint="eastAsia" w:ascii="Times New Roman" w:eastAsia="黑体"/>
          <w:lang w:val="en-US" w:eastAsia="zh-CN"/>
        </w:rPr>
        <w:t>舌下脉络青紫</w:t>
      </w:r>
    </w:p>
    <w:p w14:paraId="40AFB3B4">
      <w:pPr>
        <w:pStyle w:val="15"/>
        <w:spacing w:line="360" w:lineRule="exact"/>
        <w:ind w:firstLine="420"/>
        <w:rPr>
          <w:rFonts w:ascii="Times New Roman"/>
        </w:rPr>
      </w:pPr>
      <w:r>
        <w:rPr>
          <w:rFonts w:hint="eastAsia" w:ascii="Times New Roman"/>
          <w:lang w:val="en-US" w:eastAsia="zh-CN"/>
        </w:rPr>
        <w:t>舌体翘起，见舌下脉络清晰，色青紫</w:t>
      </w:r>
      <w:r>
        <w:rPr>
          <w:rFonts w:ascii="Times New Roman"/>
        </w:rPr>
        <w:t>。</w:t>
      </w:r>
    </w:p>
    <w:p w14:paraId="15206518">
      <w:pPr>
        <w:pStyle w:val="15"/>
        <w:spacing w:line="360" w:lineRule="exact"/>
        <w:ind w:firstLine="420"/>
        <w:rPr>
          <w:rFonts w:ascii="Times New Roman"/>
        </w:rPr>
      </w:pPr>
      <w:r>
        <w:rPr>
          <w:rFonts w:ascii="Times New Roman"/>
        </w:rPr>
        <w:t>[《中医临床常见症状术语规范（2015）》，术语及定义P</w:t>
      </w:r>
      <w:r>
        <w:rPr>
          <w:rFonts w:hint="eastAsia" w:ascii="Times New Roman"/>
          <w:lang w:val="en-US" w:eastAsia="zh-CN"/>
        </w:rPr>
        <w:t>70</w:t>
      </w:r>
      <w:r>
        <w:rPr>
          <w:rFonts w:ascii="Times New Roman"/>
        </w:rPr>
        <w:t>]</w:t>
      </w:r>
    </w:p>
    <w:p w14:paraId="1B0A3B7F">
      <w:pPr>
        <w:pStyle w:val="15"/>
        <w:spacing w:line="360" w:lineRule="exact"/>
        <w:ind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21</w:t>
      </w:r>
    </w:p>
    <w:p w14:paraId="6C79E177">
      <w:pPr>
        <w:pStyle w:val="15"/>
        <w:spacing w:line="360" w:lineRule="exact"/>
        <w:ind w:firstLine="420"/>
        <w:rPr>
          <w:rFonts w:hint="default" w:ascii="Times New Roman" w:eastAsia="黑体"/>
          <w:lang w:val="en-US" w:eastAsia="zh-CN"/>
        </w:rPr>
      </w:pPr>
      <w:r>
        <w:rPr>
          <w:rFonts w:hint="eastAsia" w:ascii="Times New Roman" w:eastAsia="黑体"/>
          <w:lang w:val="en-US" w:eastAsia="zh-CN"/>
        </w:rPr>
        <w:t>舌下脉络迂曲</w:t>
      </w:r>
    </w:p>
    <w:p w14:paraId="7FD9E5AB">
      <w:pPr>
        <w:pStyle w:val="15"/>
        <w:spacing w:line="360" w:lineRule="exact"/>
        <w:ind w:firstLine="420"/>
        <w:rPr>
          <w:rFonts w:ascii="Times New Roman"/>
        </w:rPr>
      </w:pPr>
      <w:r>
        <w:rPr>
          <w:rFonts w:hint="eastAsia" w:ascii="Times New Roman"/>
          <w:lang w:val="en-US" w:eastAsia="zh-CN"/>
        </w:rPr>
        <w:t>舌体翘起，见舌下脉络增粗，走行弯曲</w:t>
      </w:r>
      <w:r>
        <w:rPr>
          <w:rFonts w:ascii="Times New Roman"/>
        </w:rPr>
        <w:t>。</w:t>
      </w:r>
    </w:p>
    <w:p w14:paraId="7CC9EBA9">
      <w:pPr>
        <w:pStyle w:val="15"/>
        <w:spacing w:line="360" w:lineRule="exact"/>
        <w:ind w:firstLine="420"/>
        <w:rPr>
          <w:rFonts w:ascii="Times New Roman"/>
        </w:rPr>
      </w:pPr>
      <w:r>
        <w:rPr>
          <w:rFonts w:ascii="Times New Roman"/>
        </w:rPr>
        <w:t>[《中医临床常见症状术语规范（2015）》，术语及定义P</w:t>
      </w:r>
      <w:r>
        <w:rPr>
          <w:rFonts w:hint="eastAsia" w:ascii="Times New Roman"/>
          <w:lang w:val="en-US" w:eastAsia="zh-CN"/>
        </w:rPr>
        <w:t>70</w:t>
      </w:r>
      <w:r>
        <w:rPr>
          <w:rFonts w:ascii="Times New Roman"/>
        </w:rPr>
        <w:t>]</w:t>
      </w:r>
    </w:p>
    <w:p w14:paraId="43485C18">
      <w:pPr>
        <w:pStyle w:val="15"/>
        <w:spacing w:line="360" w:lineRule="exact"/>
        <w:ind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22</w:t>
      </w:r>
    </w:p>
    <w:p w14:paraId="73525681">
      <w:pPr>
        <w:pStyle w:val="15"/>
        <w:spacing w:line="360" w:lineRule="exact"/>
        <w:ind w:firstLine="420"/>
        <w:rPr>
          <w:rFonts w:ascii="Times New Roman" w:eastAsia="黑体"/>
        </w:rPr>
      </w:pPr>
      <w:r>
        <w:rPr>
          <w:rFonts w:ascii="Times New Roman" w:eastAsia="黑体"/>
        </w:rPr>
        <w:t xml:space="preserve">涩脉 hesitant pulse </w:t>
      </w:r>
    </w:p>
    <w:p w14:paraId="667CC2BF">
      <w:pPr>
        <w:pStyle w:val="15"/>
        <w:spacing w:line="360" w:lineRule="exact"/>
        <w:ind w:firstLine="420"/>
        <w:rPr>
          <w:rFonts w:ascii="Times New Roman"/>
        </w:rPr>
      </w:pPr>
      <w:r>
        <w:rPr>
          <w:rFonts w:ascii="Times New Roman"/>
        </w:rPr>
        <w:t>脉来不流利，往来艰涩，如轻刀刮竹的脉象。</w:t>
      </w:r>
    </w:p>
    <w:p w14:paraId="3B526E10">
      <w:pPr>
        <w:pStyle w:val="15"/>
        <w:spacing w:line="360" w:lineRule="exact"/>
        <w:ind w:firstLine="420"/>
        <w:rPr>
          <w:rFonts w:ascii="Times New Roman"/>
        </w:rPr>
      </w:pPr>
      <w:r>
        <w:rPr>
          <w:rFonts w:ascii="Times New Roman"/>
        </w:rPr>
        <w:t>[《中医药学名词（2004）》，术语及定义04.522]</w:t>
      </w:r>
    </w:p>
    <w:p w14:paraId="550EEEBB">
      <w:pPr>
        <w:pStyle w:val="15"/>
        <w:spacing w:line="360" w:lineRule="exact"/>
        <w:ind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23</w:t>
      </w:r>
    </w:p>
    <w:p w14:paraId="7FDA0894">
      <w:pPr>
        <w:pStyle w:val="15"/>
        <w:spacing w:line="360" w:lineRule="exact"/>
        <w:ind w:firstLine="420"/>
        <w:rPr>
          <w:rFonts w:ascii="Times New Roman" w:eastAsia="黑体"/>
        </w:rPr>
      </w:pPr>
      <w:r>
        <w:rPr>
          <w:rFonts w:hint="eastAsia" w:ascii="Times New Roman" w:eastAsia="黑体"/>
          <w:lang w:val="en-US" w:eastAsia="zh-CN"/>
        </w:rPr>
        <w:t>弱</w:t>
      </w:r>
      <w:r>
        <w:rPr>
          <w:rFonts w:ascii="Times New Roman" w:eastAsia="黑体"/>
        </w:rPr>
        <w:t xml:space="preserve">脉 </w:t>
      </w:r>
      <w:r>
        <w:rPr>
          <w:rFonts w:hint="eastAsia" w:ascii="Times New Roman" w:eastAsia="黑体"/>
          <w:lang w:val="en-US" w:eastAsia="zh-CN"/>
        </w:rPr>
        <w:t>weak</w:t>
      </w:r>
      <w:r>
        <w:rPr>
          <w:rFonts w:ascii="Times New Roman" w:eastAsia="黑体"/>
        </w:rPr>
        <w:t xml:space="preserve"> pulse</w:t>
      </w:r>
    </w:p>
    <w:p w14:paraId="7A360944">
      <w:pPr>
        <w:pStyle w:val="15"/>
        <w:spacing w:line="360" w:lineRule="exact"/>
        <w:ind w:firstLine="420"/>
        <w:rPr>
          <w:rFonts w:ascii="Times New Roman"/>
        </w:rPr>
      </w:pPr>
      <w:r>
        <w:rPr>
          <w:rFonts w:hint="eastAsia" w:ascii="Times New Roman"/>
          <w:lang w:val="en-US" w:eastAsia="zh-CN"/>
        </w:rPr>
        <w:t>沉细无力的脉脉象</w:t>
      </w:r>
      <w:r>
        <w:rPr>
          <w:rFonts w:ascii="Times New Roman"/>
        </w:rPr>
        <w:t>。</w:t>
      </w:r>
    </w:p>
    <w:p w14:paraId="3218F982">
      <w:pPr>
        <w:pStyle w:val="15"/>
        <w:spacing w:line="360" w:lineRule="exact"/>
        <w:ind w:firstLine="420"/>
      </w:pPr>
      <w:r>
        <w:rPr>
          <w:rFonts w:ascii="Times New Roman"/>
        </w:rPr>
        <w:t>[《中医药学名词（2004）》，术语及定义04.5</w:t>
      </w:r>
      <w:r>
        <w:rPr>
          <w:rFonts w:hint="eastAsia" w:ascii="Times New Roman"/>
          <w:lang w:val="en-US" w:eastAsia="zh-CN"/>
        </w:rPr>
        <w:t>17</w:t>
      </w:r>
      <w:r>
        <w:rPr>
          <w:rFonts w:ascii="Times New Roman"/>
        </w:rPr>
        <w:t>]</w:t>
      </w:r>
    </w:p>
    <w:p w14:paraId="46856791">
      <w:pPr>
        <w:pStyle w:val="15"/>
        <w:spacing w:line="360" w:lineRule="exact"/>
        <w:ind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24</w:t>
      </w:r>
    </w:p>
    <w:p w14:paraId="35EFE061">
      <w:pPr>
        <w:pStyle w:val="15"/>
        <w:spacing w:line="360" w:lineRule="exact"/>
        <w:ind w:firstLine="420"/>
        <w:rPr>
          <w:rFonts w:hint="eastAsia" w:ascii="Times New Roman" w:eastAsia="宋体"/>
          <w:b w:val="0"/>
          <w:bCs w:val="0"/>
          <w:lang w:val="en-US" w:eastAsia="zh-CN"/>
        </w:rPr>
      </w:pPr>
      <w:r>
        <w:rPr>
          <w:rFonts w:ascii="Times New Roman"/>
          <w:b/>
          <w:bCs/>
        </w:rPr>
        <w:t>Gensini评分</w:t>
      </w:r>
      <w:r>
        <w:rPr>
          <w:rFonts w:hint="eastAsia" w:ascii="Times New Roman"/>
          <w:b/>
          <w:bCs/>
          <w:lang w:val="en-US" w:eastAsia="zh-CN"/>
        </w:rPr>
        <w:t xml:space="preserve"> </w:t>
      </w:r>
      <w:r>
        <w:rPr>
          <w:rFonts w:hint="eastAsia" w:ascii="Times New Roman"/>
          <w:b w:val="0"/>
          <w:bCs w:val="0"/>
          <w:lang w:val="en-US" w:eastAsia="zh-CN"/>
        </w:rPr>
        <w:t>Gensini score</w:t>
      </w:r>
    </w:p>
    <w:p w14:paraId="2866CA92">
      <w:pPr>
        <w:pStyle w:val="15"/>
        <w:spacing w:line="360" w:lineRule="exact"/>
        <w:ind w:firstLine="420"/>
        <w:rPr>
          <w:rFonts w:ascii="Times New Roman"/>
        </w:rPr>
      </w:pPr>
      <w:r>
        <w:rPr>
          <w:rFonts w:ascii="Times New Roman"/>
        </w:rPr>
        <w:t>是用于评估冠状动脉造影上显示的冠状动脉粥样硬化性狭窄的严重程度和范围的重要工具，通过结合狭窄严重程度和血管段的重要性权重，计算出一个总分，能较好地反映患者的冠状动脉疾病总体负荷</w:t>
      </w:r>
      <w:r>
        <w:rPr>
          <w:rFonts w:hint="eastAsia" w:ascii="Times New Roman"/>
          <w:vertAlign w:val="superscript"/>
          <w:lang w:val="en-US" w:eastAsia="zh-CN"/>
        </w:rPr>
        <w:t>[7]</w:t>
      </w:r>
      <w:r>
        <w:rPr>
          <w:rFonts w:ascii="Times New Roman"/>
        </w:rPr>
        <w:t>。</w:t>
      </w:r>
    </w:p>
    <w:p w14:paraId="7694BA4C">
      <w:pPr>
        <w:pStyle w:val="15"/>
        <w:spacing w:line="360" w:lineRule="exact"/>
        <w:ind w:firstLine="0" w:firstLineChars="0"/>
        <w:rPr>
          <w:rFonts w:hint="default" w:ascii="Times New Roman" w:eastAsia="黑体"/>
          <w:lang w:val="en-US" w:eastAsia="zh-CN"/>
        </w:rPr>
      </w:pPr>
      <w:r>
        <w:rPr>
          <w:rFonts w:ascii="Times New Roman" w:eastAsia="黑体"/>
        </w:rPr>
        <w:t>3.</w:t>
      </w:r>
      <w:r>
        <w:rPr>
          <w:rFonts w:hint="eastAsia" w:ascii="Times New Roman" w:eastAsia="黑体"/>
          <w:lang w:val="en-US" w:eastAsia="zh-CN"/>
        </w:rPr>
        <w:t>25</w:t>
      </w:r>
    </w:p>
    <w:p w14:paraId="2E586DB9">
      <w:pPr>
        <w:pStyle w:val="15"/>
        <w:spacing w:line="360" w:lineRule="exact"/>
        <w:ind w:firstLine="420"/>
        <w:rPr>
          <w:rFonts w:hint="eastAsia" w:ascii="Times New Roman"/>
        </w:rPr>
      </w:pPr>
      <w:r>
        <w:rPr>
          <w:rFonts w:hint="eastAsia" w:ascii="Times New Roman"/>
          <w:b/>
          <w:bCs/>
          <w:lang w:val="en-US" w:eastAsia="zh-CN"/>
        </w:rPr>
        <w:t xml:space="preserve">6分钟步行距离 </w:t>
      </w:r>
      <w:r>
        <w:rPr>
          <w:rFonts w:hint="eastAsia" w:ascii="Times New Roman"/>
          <w:b w:val="0"/>
          <w:bCs w:val="0"/>
          <w:lang w:val="en-US" w:eastAsia="zh-CN"/>
        </w:rPr>
        <w:t xml:space="preserve"> 6-min walk distance（6MWD）</w:t>
      </w:r>
    </w:p>
    <w:p w14:paraId="65E9EBF2">
      <w:pPr>
        <w:pStyle w:val="15"/>
        <w:spacing w:line="360" w:lineRule="exact"/>
        <w:rPr>
          <w:rFonts w:hint="eastAsia" w:ascii="Times New Roman" w:eastAsia="宋体"/>
          <w:lang w:eastAsia="zh-CN"/>
        </w:rPr>
      </w:pPr>
      <w:r>
        <w:rPr>
          <w:rFonts w:hint="eastAsia" w:ascii="Times New Roman"/>
        </w:rPr>
        <w:t>患者在一条30米长的平直走廊上，于6分钟内尽可能快地行走，其所完成的总距离</w:t>
      </w:r>
      <w:r>
        <w:rPr>
          <w:rFonts w:hint="eastAsia" w:ascii="Times New Roman"/>
          <w:lang w:eastAsia="zh-CN"/>
        </w:rPr>
        <w:t>。是一种用于评估个体心肺功能与运动耐量的亚极量运动试验</w:t>
      </w:r>
      <w:r>
        <w:rPr>
          <w:rFonts w:hint="eastAsia" w:ascii="Times New Roman"/>
          <w:vertAlign w:val="superscript"/>
          <w:lang w:val="en-US" w:eastAsia="zh-CN"/>
        </w:rPr>
        <w:t>[8]</w:t>
      </w:r>
      <w:r>
        <w:rPr>
          <w:rFonts w:hint="eastAsia" w:ascii="Times New Roman"/>
          <w:lang w:eastAsia="zh-CN"/>
        </w:rPr>
        <w:t>。</w:t>
      </w:r>
    </w:p>
    <w:p w14:paraId="38363104">
      <w:pPr>
        <w:pStyle w:val="15"/>
        <w:ind w:firstLine="420"/>
      </w:pPr>
    </w:p>
    <w:p w14:paraId="62B1BFEA">
      <w:pPr>
        <w:pStyle w:val="15"/>
        <w:ind w:firstLine="420"/>
      </w:pPr>
    </w:p>
    <w:p w14:paraId="02F499FD">
      <w:pPr>
        <w:pStyle w:val="15"/>
        <w:tabs>
          <w:tab w:val="center" w:pos="4201"/>
          <w:tab w:val="right" w:leader="dot" w:pos="9298"/>
        </w:tabs>
        <w:spacing w:line="360" w:lineRule="auto"/>
        <w:ind w:firstLine="0" w:firstLineChars="0"/>
        <w:rPr>
          <w:rFonts w:hint="eastAsia" w:ascii="Times New Roman" w:eastAsia="黑体" w:hAnsiTheme="minorHAnsi" w:cstheme="minorBidi"/>
          <w:kern w:val="2"/>
          <w:szCs w:val="22"/>
          <w:lang w:val="en-US" w:eastAsia="zh-CN"/>
        </w:rPr>
      </w:pPr>
      <w:r>
        <w:rPr>
          <w:rFonts w:hint="eastAsia" w:ascii="Times New Roman"/>
          <w:color w:val="000000"/>
        </w:rPr>
        <w:t xml:space="preserve">4  </w:t>
      </w:r>
      <w:r>
        <w:rPr>
          <w:rFonts w:hint="eastAsia" w:ascii="Times New Roman" w:eastAsia="黑体" w:hAnsiTheme="minorHAnsi" w:cstheme="minorBidi"/>
          <w:kern w:val="2"/>
          <w:szCs w:val="22"/>
          <w:lang w:val="en-US" w:eastAsia="zh-CN"/>
        </w:rPr>
        <w:t>不稳定性心绞痛虚瘀毒证诊断专家共识</w:t>
      </w:r>
    </w:p>
    <w:p w14:paraId="48198CC8">
      <w:pPr>
        <w:pStyle w:val="15"/>
        <w:tabs>
          <w:tab w:val="center" w:pos="4201"/>
          <w:tab w:val="right" w:leader="dot" w:pos="9298"/>
        </w:tabs>
        <w:spacing w:line="360" w:lineRule="auto"/>
        <w:ind w:firstLine="0" w:firstLineChars="0"/>
        <w:jc w:val="center"/>
        <w:rPr>
          <w:rFonts w:hint="eastAsia" w:ascii="Times New Roman" w:eastAsia="黑体" w:hAnsiTheme="minorHAnsi" w:cstheme="minorBidi"/>
          <w:kern w:val="2"/>
          <w:szCs w:val="22"/>
          <w:lang w:val="en-US" w:eastAsia="zh-CN"/>
        </w:rPr>
      </w:pPr>
      <w:r>
        <w:rPr>
          <w:rFonts w:hint="eastAsia" w:ascii="Times New Roman" w:eastAsia="黑体" w:hAnsiTheme="minorHAnsi" w:cstheme="minorBidi"/>
          <w:kern w:val="2"/>
          <w:szCs w:val="22"/>
          <w:lang w:val="en-US" w:eastAsia="zh-CN"/>
        </w:rPr>
        <w:t>表1 不稳定性心绞痛虚瘀毒证诊断依据表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418"/>
        <w:gridCol w:w="5386"/>
        <w:gridCol w:w="1502"/>
      </w:tblGrid>
      <w:tr w14:paraId="6F0F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418" w:type="dxa"/>
            <w:tcBorders>
              <w:top w:val="single" w:color="auto" w:sz="8" w:space="0"/>
              <w:left w:val="nil"/>
              <w:bottom w:val="single" w:color="auto" w:sz="4" w:space="0"/>
              <w:right w:val="nil"/>
            </w:tcBorders>
            <w:shd w:val="clear" w:color="auto" w:fill="auto"/>
            <w:vAlign w:val="center"/>
          </w:tcPr>
          <w:p w14:paraId="523C410B">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Times New Roman"/>
                <w:kern w:val="0"/>
                <w:szCs w:val="21"/>
                <w:lang w:val="en-US"/>
              </w:rPr>
            </w:pPr>
            <w:r>
              <w:rPr>
                <w:rFonts w:hint="eastAsia" w:ascii="宋体" w:hAnsi="宋体" w:eastAsia="宋体" w:cs="Times New Roman"/>
                <w:kern w:val="0"/>
                <w:sz w:val="21"/>
                <w:szCs w:val="21"/>
                <w:lang w:val="en-US" w:eastAsia="zh-CN" w:bidi="ar"/>
              </w:rPr>
              <w:t>类型</w:t>
            </w:r>
          </w:p>
        </w:tc>
        <w:tc>
          <w:tcPr>
            <w:tcW w:w="5386" w:type="dxa"/>
            <w:tcBorders>
              <w:top w:val="single" w:color="auto" w:sz="8" w:space="0"/>
              <w:left w:val="nil"/>
              <w:bottom w:val="single" w:color="auto" w:sz="4" w:space="0"/>
              <w:right w:val="nil"/>
            </w:tcBorders>
            <w:shd w:val="clear" w:color="auto" w:fill="auto"/>
            <w:vAlign w:val="center"/>
          </w:tcPr>
          <w:p w14:paraId="1D82307B">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Times New Roman"/>
                <w:kern w:val="0"/>
                <w:szCs w:val="21"/>
                <w:lang w:val="en-US"/>
              </w:rPr>
            </w:pPr>
            <w:r>
              <w:rPr>
                <w:rFonts w:hint="eastAsia" w:ascii="宋体" w:hAnsi="宋体" w:eastAsia="宋体" w:cs="Times New Roman"/>
                <w:kern w:val="0"/>
                <w:sz w:val="21"/>
                <w:szCs w:val="21"/>
                <w:lang w:val="en-US" w:eastAsia="zh-CN" w:bidi="ar"/>
              </w:rPr>
              <w:t>诊断条目</w:t>
            </w:r>
          </w:p>
        </w:tc>
        <w:tc>
          <w:tcPr>
            <w:tcW w:w="1502" w:type="dxa"/>
            <w:tcBorders>
              <w:top w:val="single" w:color="auto" w:sz="8" w:space="0"/>
              <w:left w:val="nil"/>
              <w:bottom w:val="single" w:color="auto" w:sz="4" w:space="0"/>
              <w:right w:val="nil"/>
            </w:tcBorders>
            <w:shd w:val="clear" w:color="auto" w:fill="auto"/>
            <w:vAlign w:val="center"/>
          </w:tcPr>
          <w:p w14:paraId="12D9E1E3">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Times New Roman"/>
                <w:kern w:val="0"/>
                <w:szCs w:val="21"/>
                <w:lang w:val="en-US"/>
              </w:rPr>
            </w:pPr>
            <w:r>
              <w:rPr>
                <w:rFonts w:hint="eastAsia" w:ascii="宋体" w:hAnsi="宋体" w:eastAsia="宋体" w:cs="Times New Roman"/>
                <w:kern w:val="0"/>
                <w:sz w:val="21"/>
                <w:szCs w:val="21"/>
                <w:lang w:val="en-US" w:eastAsia="zh-CN" w:bidi="ar"/>
              </w:rPr>
              <w:t>权重量化赋分</w:t>
            </w:r>
          </w:p>
        </w:tc>
      </w:tr>
      <w:tr w14:paraId="60CC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restart"/>
            <w:tcBorders>
              <w:top w:val="single" w:color="auto" w:sz="4" w:space="0"/>
              <w:left w:val="nil"/>
              <w:bottom w:val="single" w:color="auto" w:sz="4" w:space="0"/>
              <w:right w:val="nil"/>
            </w:tcBorders>
            <w:shd w:val="clear" w:color="auto" w:fill="auto"/>
            <w:vAlign w:val="center"/>
          </w:tcPr>
          <w:p w14:paraId="453FCC3B">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主症</w:t>
            </w:r>
          </w:p>
        </w:tc>
        <w:tc>
          <w:tcPr>
            <w:tcW w:w="5386" w:type="dxa"/>
            <w:tcBorders>
              <w:top w:val="single" w:color="auto" w:sz="4" w:space="0"/>
              <w:left w:val="nil"/>
              <w:bottom w:val="nil"/>
              <w:right w:val="nil"/>
            </w:tcBorders>
            <w:shd w:val="clear" w:color="auto" w:fill="auto"/>
            <w:vAlign w:val="center"/>
          </w:tcPr>
          <w:p w14:paraId="6F3482A6">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Times New Roman"/>
                <w:kern w:val="0"/>
                <w:szCs w:val="21"/>
                <w:lang w:val="en-US"/>
              </w:rPr>
            </w:pPr>
            <w:r>
              <w:rPr>
                <w:rFonts w:hint="eastAsia" w:ascii="Times New Roman" w:hAnsi="Times New Roman" w:eastAsia="宋体" w:cs="Times New Roman"/>
                <w:kern w:val="0"/>
                <w:sz w:val="21"/>
                <w:szCs w:val="21"/>
                <w:lang w:val="en-US" w:eastAsia="zh-CN" w:bidi="ar"/>
              </w:rPr>
              <w:t>疼痛剧烈</w:t>
            </w:r>
          </w:p>
        </w:tc>
        <w:tc>
          <w:tcPr>
            <w:tcW w:w="1502" w:type="dxa"/>
            <w:tcBorders>
              <w:top w:val="single" w:color="auto" w:sz="4" w:space="0"/>
              <w:left w:val="nil"/>
              <w:bottom w:val="nil"/>
              <w:right w:val="nil"/>
            </w:tcBorders>
            <w:shd w:val="clear" w:color="auto" w:fill="auto"/>
            <w:vAlign w:val="center"/>
          </w:tcPr>
          <w:p w14:paraId="14D10098">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4.2</w:t>
            </w:r>
          </w:p>
        </w:tc>
      </w:tr>
      <w:tr w14:paraId="3182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4" w:space="0"/>
              <w:right w:val="nil"/>
            </w:tcBorders>
            <w:shd w:val="clear" w:color="auto" w:fill="auto"/>
            <w:vAlign w:val="center"/>
          </w:tcPr>
          <w:p w14:paraId="1E37EEC7">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33961999">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Times New Roman"/>
                <w:kern w:val="0"/>
                <w:szCs w:val="21"/>
                <w:lang w:val="en-US"/>
              </w:rPr>
            </w:pPr>
            <w:r>
              <w:rPr>
                <w:rFonts w:hint="eastAsia" w:ascii="Times New Roman" w:hAnsi="Times New Roman" w:eastAsia="宋体" w:cs="Times New Roman"/>
                <w:kern w:val="0"/>
                <w:sz w:val="21"/>
                <w:szCs w:val="21"/>
                <w:lang w:val="en-US" w:eastAsia="zh-CN" w:bidi="ar"/>
              </w:rPr>
              <w:t>发作频率较前增加</w:t>
            </w:r>
          </w:p>
        </w:tc>
        <w:tc>
          <w:tcPr>
            <w:tcW w:w="1502" w:type="dxa"/>
            <w:tcBorders>
              <w:top w:val="nil"/>
              <w:left w:val="nil"/>
              <w:bottom w:val="nil"/>
              <w:right w:val="nil"/>
            </w:tcBorders>
            <w:shd w:val="clear" w:color="auto" w:fill="auto"/>
            <w:vAlign w:val="center"/>
          </w:tcPr>
          <w:p w14:paraId="24AA8A82">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Times New Roman"/>
                <w:kern w:val="0"/>
                <w:szCs w:val="21"/>
                <w:lang w:val="en-US"/>
              </w:rPr>
            </w:pPr>
            <w:r>
              <w:rPr>
                <w:rFonts w:hint="default" w:ascii="Times New Roman" w:hAnsi="Times New Roman" w:eastAsia="宋体" w:cs="Times New Roman"/>
                <w:kern w:val="0"/>
                <w:sz w:val="21"/>
                <w:szCs w:val="21"/>
                <w:lang w:val="en-US" w:eastAsia="zh-CN" w:bidi="ar"/>
              </w:rPr>
              <w:t>3.6</w:t>
            </w:r>
          </w:p>
        </w:tc>
      </w:tr>
      <w:tr w14:paraId="16BC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4" w:space="0"/>
              <w:right w:val="nil"/>
            </w:tcBorders>
            <w:shd w:val="clear" w:color="auto" w:fill="auto"/>
            <w:vAlign w:val="center"/>
          </w:tcPr>
          <w:p w14:paraId="7209E8D1">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76BF79AA">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Times New Roman"/>
                <w:kern w:val="0"/>
                <w:szCs w:val="21"/>
                <w:lang w:val="en-US"/>
              </w:rPr>
            </w:pPr>
            <w:r>
              <w:rPr>
                <w:rFonts w:hint="eastAsia" w:ascii="Times New Roman" w:hAnsi="Times New Roman" w:eastAsia="宋体" w:cs="Times New Roman"/>
                <w:kern w:val="0"/>
                <w:sz w:val="21"/>
                <w:szCs w:val="21"/>
                <w:lang w:val="en-US" w:eastAsia="zh-CN" w:bidi="ar"/>
              </w:rPr>
              <w:t>症状多变</w:t>
            </w:r>
          </w:p>
        </w:tc>
        <w:tc>
          <w:tcPr>
            <w:tcW w:w="1502" w:type="dxa"/>
            <w:tcBorders>
              <w:top w:val="nil"/>
              <w:left w:val="nil"/>
              <w:bottom w:val="nil"/>
              <w:right w:val="nil"/>
            </w:tcBorders>
            <w:shd w:val="clear" w:color="auto" w:fill="auto"/>
            <w:vAlign w:val="center"/>
          </w:tcPr>
          <w:p w14:paraId="575D1895">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Times New Roman"/>
                <w:kern w:val="0"/>
                <w:szCs w:val="21"/>
                <w:lang w:val="en-US"/>
              </w:rPr>
            </w:pPr>
            <w:r>
              <w:rPr>
                <w:rFonts w:hint="default" w:ascii="Times New Roman" w:hAnsi="Times New Roman" w:eastAsia="宋体" w:cs="Times New Roman"/>
                <w:kern w:val="0"/>
                <w:sz w:val="21"/>
                <w:szCs w:val="21"/>
                <w:lang w:val="en-US" w:eastAsia="zh-CN" w:bidi="ar"/>
              </w:rPr>
              <w:t>3.0</w:t>
            </w:r>
          </w:p>
        </w:tc>
      </w:tr>
      <w:tr w14:paraId="1BD1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418" w:type="dxa"/>
            <w:vMerge w:val="continue"/>
            <w:tcBorders>
              <w:top w:val="single" w:color="auto" w:sz="4" w:space="0"/>
              <w:left w:val="nil"/>
              <w:bottom w:val="single" w:color="auto" w:sz="4" w:space="0"/>
              <w:right w:val="nil"/>
            </w:tcBorders>
            <w:shd w:val="clear" w:color="auto" w:fill="auto"/>
            <w:vAlign w:val="center"/>
          </w:tcPr>
          <w:p w14:paraId="744C504A">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3C709110">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Times New Roman"/>
                <w:kern w:val="0"/>
                <w:szCs w:val="21"/>
                <w:lang w:val="en-US"/>
              </w:rPr>
            </w:pPr>
            <w:r>
              <w:rPr>
                <w:rFonts w:hint="eastAsia" w:ascii="Times New Roman" w:hAnsi="Times New Roman" w:eastAsia="宋体" w:cs="Times New Roman"/>
                <w:kern w:val="0"/>
                <w:sz w:val="21"/>
                <w:szCs w:val="21"/>
                <w:lang w:val="en-US" w:eastAsia="zh-CN" w:bidi="ar"/>
              </w:rPr>
              <w:t>乏力</w:t>
            </w:r>
          </w:p>
        </w:tc>
        <w:tc>
          <w:tcPr>
            <w:tcW w:w="1502" w:type="dxa"/>
            <w:tcBorders>
              <w:top w:val="nil"/>
              <w:left w:val="nil"/>
              <w:bottom w:val="nil"/>
              <w:right w:val="nil"/>
            </w:tcBorders>
            <w:shd w:val="clear" w:color="auto" w:fill="auto"/>
            <w:vAlign w:val="center"/>
          </w:tcPr>
          <w:p w14:paraId="246AD974">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Times New Roman"/>
                <w:kern w:val="0"/>
                <w:szCs w:val="21"/>
                <w:lang w:val="en-US"/>
              </w:rPr>
            </w:pPr>
            <w:r>
              <w:rPr>
                <w:rFonts w:hint="default" w:ascii="Times New Roman" w:hAnsi="Times New Roman" w:eastAsia="宋体" w:cs="Times New Roman"/>
                <w:kern w:val="0"/>
                <w:sz w:val="21"/>
                <w:szCs w:val="21"/>
                <w:lang w:val="en-US" w:eastAsia="zh-CN" w:bidi="ar"/>
              </w:rPr>
              <w:t>4.8</w:t>
            </w:r>
          </w:p>
        </w:tc>
      </w:tr>
      <w:tr w14:paraId="5050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8" w:hRule="atLeast"/>
          <w:jc w:val="center"/>
        </w:trPr>
        <w:tc>
          <w:tcPr>
            <w:tcW w:w="1418" w:type="dxa"/>
            <w:vMerge w:val="continue"/>
            <w:tcBorders>
              <w:top w:val="single" w:color="auto" w:sz="4" w:space="0"/>
              <w:left w:val="nil"/>
              <w:bottom w:val="single" w:color="auto" w:sz="4" w:space="0"/>
              <w:right w:val="nil"/>
            </w:tcBorders>
            <w:shd w:val="clear" w:color="auto" w:fill="auto"/>
            <w:vAlign w:val="center"/>
          </w:tcPr>
          <w:p w14:paraId="6658E0B7">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0EC2FB7C">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Times New Roman"/>
                <w:kern w:val="0"/>
                <w:szCs w:val="21"/>
                <w:lang w:val="en-US"/>
              </w:rPr>
            </w:pPr>
            <w:r>
              <w:rPr>
                <w:rFonts w:hint="eastAsia" w:ascii="Times New Roman" w:hAnsi="Times New Roman" w:eastAsia="宋体" w:cs="Times New Roman"/>
                <w:kern w:val="0"/>
                <w:sz w:val="21"/>
                <w:szCs w:val="21"/>
                <w:lang w:val="en-US" w:eastAsia="zh-CN" w:bidi="ar"/>
              </w:rPr>
              <w:t>气短</w:t>
            </w:r>
          </w:p>
        </w:tc>
        <w:tc>
          <w:tcPr>
            <w:tcW w:w="1502" w:type="dxa"/>
            <w:tcBorders>
              <w:top w:val="nil"/>
              <w:left w:val="nil"/>
              <w:bottom w:val="nil"/>
              <w:right w:val="nil"/>
            </w:tcBorders>
            <w:shd w:val="clear" w:color="auto" w:fill="auto"/>
            <w:vAlign w:val="center"/>
          </w:tcPr>
          <w:p w14:paraId="6950182D">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Times New Roman"/>
                <w:kern w:val="0"/>
                <w:szCs w:val="21"/>
                <w:lang w:val="en-US"/>
              </w:rPr>
            </w:pPr>
            <w:r>
              <w:rPr>
                <w:rFonts w:hint="default" w:ascii="Times New Roman" w:hAnsi="Times New Roman" w:eastAsia="宋体" w:cs="Times New Roman"/>
                <w:kern w:val="0"/>
                <w:sz w:val="21"/>
                <w:szCs w:val="21"/>
                <w:lang w:val="en-US" w:eastAsia="zh-CN" w:bidi="ar"/>
              </w:rPr>
              <w:t>4.2</w:t>
            </w:r>
          </w:p>
        </w:tc>
      </w:tr>
      <w:tr w14:paraId="4148D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4" w:space="0"/>
              <w:right w:val="nil"/>
            </w:tcBorders>
            <w:shd w:val="clear" w:color="auto" w:fill="auto"/>
            <w:vAlign w:val="center"/>
          </w:tcPr>
          <w:p w14:paraId="4A05158C">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52BBE033">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活动后症状加重</w:t>
            </w:r>
          </w:p>
        </w:tc>
        <w:tc>
          <w:tcPr>
            <w:tcW w:w="1502" w:type="dxa"/>
            <w:tcBorders>
              <w:top w:val="nil"/>
              <w:left w:val="nil"/>
              <w:bottom w:val="nil"/>
              <w:right w:val="nil"/>
            </w:tcBorders>
            <w:shd w:val="clear" w:color="auto" w:fill="auto"/>
            <w:vAlign w:val="center"/>
          </w:tcPr>
          <w:p w14:paraId="6D68D47D">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2.4</w:t>
            </w:r>
          </w:p>
        </w:tc>
      </w:tr>
      <w:tr w14:paraId="057F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4" w:space="0"/>
              <w:right w:val="nil"/>
            </w:tcBorders>
            <w:shd w:val="clear" w:color="auto" w:fill="auto"/>
            <w:vAlign w:val="center"/>
          </w:tcPr>
          <w:p w14:paraId="5C4E73BA">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5666D71A">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神疲</w:t>
            </w:r>
          </w:p>
        </w:tc>
        <w:tc>
          <w:tcPr>
            <w:tcW w:w="1502" w:type="dxa"/>
            <w:tcBorders>
              <w:top w:val="nil"/>
              <w:left w:val="nil"/>
              <w:bottom w:val="nil"/>
              <w:right w:val="nil"/>
            </w:tcBorders>
            <w:shd w:val="clear" w:color="auto" w:fill="auto"/>
            <w:vAlign w:val="center"/>
          </w:tcPr>
          <w:p w14:paraId="64BF60B7">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4.2</w:t>
            </w:r>
          </w:p>
        </w:tc>
      </w:tr>
      <w:tr w14:paraId="11F9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4" w:space="0"/>
              <w:right w:val="nil"/>
            </w:tcBorders>
            <w:shd w:val="clear" w:color="auto" w:fill="auto"/>
            <w:vAlign w:val="center"/>
          </w:tcPr>
          <w:p w14:paraId="34AFD9BC">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5E05225E">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面色或口唇紫暗</w:t>
            </w:r>
          </w:p>
        </w:tc>
        <w:tc>
          <w:tcPr>
            <w:tcW w:w="1502" w:type="dxa"/>
            <w:tcBorders>
              <w:top w:val="nil"/>
              <w:left w:val="nil"/>
              <w:bottom w:val="nil"/>
              <w:right w:val="nil"/>
            </w:tcBorders>
            <w:shd w:val="clear" w:color="auto" w:fill="auto"/>
            <w:vAlign w:val="center"/>
          </w:tcPr>
          <w:p w14:paraId="3C0C416F">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3.6</w:t>
            </w:r>
          </w:p>
        </w:tc>
      </w:tr>
      <w:tr w14:paraId="5FE6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4" w:space="0"/>
              <w:right w:val="nil"/>
            </w:tcBorders>
            <w:shd w:val="clear" w:color="auto" w:fill="auto"/>
            <w:vAlign w:val="center"/>
          </w:tcPr>
          <w:p w14:paraId="4A0E28A2">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32DBEDBE">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痛处固定不移</w:t>
            </w:r>
          </w:p>
        </w:tc>
        <w:tc>
          <w:tcPr>
            <w:tcW w:w="1502" w:type="dxa"/>
            <w:tcBorders>
              <w:top w:val="nil"/>
              <w:left w:val="nil"/>
              <w:bottom w:val="nil"/>
              <w:right w:val="nil"/>
            </w:tcBorders>
            <w:shd w:val="clear" w:color="auto" w:fill="auto"/>
            <w:vAlign w:val="center"/>
          </w:tcPr>
          <w:p w14:paraId="59A59DC3">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1.8</w:t>
            </w:r>
          </w:p>
        </w:tc>
      </w:tr>
      <w:tr w14:paraId="2FB3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4" w:space="0"/>
              <w:right w:val="nil"/>
            </w:tcBorders>
            <w:shd w:val="clear" w:color="auto" w:fill="auto"/>
            <w:vAlign w:val="center"/>
          </w:tcPr>
          <w:p w14:paraId="6050E40E">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02367C5F">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hs-CRP</w:t>
            </w:r>
            <w:r>
              <w:rPr>
                <w:rFonts w:hint="eastAsia" w:ascii="Times New Roman" w:hAnsi="Times New Roman" w:eastAsia="宋体" w:cs="Times New Roman"/>
                <w:kern w:val="0"/>
                <w:sz w:val="21"/>
                <w:szCs w:val="21"/>
                <w:lang w:val="en-US" w:eastAsia="zh-CN" w:bidi="ar"/>
              </w:rPr>
              <w:t>升高</w:t>
            </w:r>
          </w:p>
        </w:tc>
        <w:tc>
          <w:tcPr>
            <w:tcW w:w="1502" w:type="dxa"/>
            <w:tcBorders>
              <w:top w:val="nil"/>
              <w:left w:val="nil"/>
              <w:bottom w:val="nil"/>
              <w:right w:val="nil"/>
            </w:tcBorders>
            <w:shd w:val="clear" w:color="auto" w:fill="auto"/>
            <w:vAlign w:val="center"/>
          </w:tcPr>
          <w:p w14:paraId="54B80C15">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1.4</w:t>
            </w:r>
          </w:p>
        </w:tc>
      </w:tr>
      <w:tr w14:paraId="1300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4" w:space="0"/>
              <w:right w:val="nil"/>
            </w:tcBorders>
            <w:shd w:val="clear" w:color="auto" w:fill="auto"/>
            <w:vAlign w:val="center"/>
          </w:tcPr>
          <w:p w14:paraId="418DCAB6">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03823DD8">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冠脉造影示任何一支冠状动脉明显狭窄（</w:t>
            </w:r>
            <w:r>
              <w:rPr>
                <w:rFonts w:hint="eastAsia" w:ascii="宋体" w:hAnsi="宋体" w:eastAsia="宋体" w:cs="Times New Roman"/>
                <w:kern w:val="0"/>
                <w:sz w:val="21"/>
                <w:szCs w:val="21"/>
                <w:lang w:val="en-US" w:eastAsia="zh-CN" w:bidi="ar"/>
              </w:rPr>
              <w:t>≥</w:t>
            </w:r>
            <w:r>
              <w:rPr>
                <w:rFonts w:hint="default" w:ascii="Times New Roman" w:hAnsi="Times New Roman" w:eastAsia="宋体" w:cs="Times New Roman"/>
                <w:kern w:val="0"/>
                <w:sz w:val="21"/>
                <w:szCs w:val="21"/>
                <w:lang w:val="en-US" w:eastAsia="zh-CN" w:bidi="ar"/>
              </w:rPr>
              <w:t>75%</w:t>
            </w:r>
            <w:r>
              <w:rPr>
                <w:rFonts w:hint="eastAsia" w:ascii="Times New Roman" w:hAnsi="Times New Roman" w:eastAsia="宋体" w:cs="Times New Roman"/>
                <w:kern w:val="0"/>
                <w:sz w:val="21"/>
                <w:szCs w:val="21"/>
                <w:lang w:val="en-US" w:eastAsia="zh-CN" w:bidi="ar"/>
              </w:rPr>
              <w:t>）</w:t>
            </w:r>
          </w:p>
        </w:tc>
        <w:tc>
          <w:tcPr>
            <w:tcW w:w="1502" w:type="dxa"/>
            <w:tcBorders>
              <w:top w:val="nil"/>
              <w:left w:val="nil"/>
              <w:bottom w:val="nil"/>
              <w:right w:val="nil"/>
            </w:tcBorders>
            <w:shd w:val="clear" w:color="auto" w:fill="auto"/>
            <w:vAlign w:val="center"/>
          </w:tcPr>
          <w:p w14:paraId="044E3A01">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2.0</w:t>
            </w:r>
          </w:p>
        </w:tc>
      </w:tr>
      <w:tr w14:paraId="5E0C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4" w:space="0"/>
              <w:right w:val="nil"/>
            </w:tcBorders>
            <w:shd w:val="clear" w:color="auto" w:fill="auto"/>
            <w:vAlign w:val="center"/>
          </w:tcPr>
          <w:p w14:paraId="7BFF8210">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391BF8BB">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冠脉造影提示冠脉慢血流或者无再流</w:t>
            </w:r>
          </w:p>
        </w:tc>
        <w:tc>
          <w:tcPr>
            <w:tcW w:w="1502" w:type="dxa"/>
            <w:tcBorders>
              <w:top w:val="nil"/>
              <w:left w:val="nil"/>
              <w:bottom w:val="nil"/>
              <w:right w:val="nil"/>
            </w:tcBorders>
            <w:shd w:val="clear" w:color="auto" w:fill="auto"/>
            <w:vAlign w:val="center"/>
          </w:tcPr>
          <w:p w14:paraId="65BCB7BA">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1.8</w:t>
            </w:r>
          </w:p>
        </w:tc>
      </w:tr>
      <w:tr w14:paraId="4C6A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4" w:space="0"/>
              <w:right w:val="nil"/>
            </w:tcBorders>
            <w:shd w:val="clear" w:color="auto" w:fill="auto"/>
            <w:vAlign w:val="center"/>
          </w:tcPr>
          <w:p w14:paraId="49BB94C3">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11B6DBCD">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舌暗</w:t>
            </w:r>
          </w:p>
        </w:tc>
        <w:tc>
          <w:tcPr>
            <w:tcW w:w="1502" w:type="dxa"/>
            <w:tcBorders>
              <w:top w:val="nil"/>
              <w:left w:val="nil"/>
              <w:bottom w:val="nil"/>
              <w:right w:val="nil"/>
            </w:tcBorders>
            <w:shd w:val="clear" w:color="auto" w:fill="auto"/>
            <w:vAlign w:val="center"/>
          </w:tcPr>
          <w:p w14:paraId="44B415DC">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3.2</w:t>
            </w:r>
          </w:p>
        </w:tc>
      </w:tr>
      <w:tr w14:paraId="0796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4" w:space="0"/>
              <w:right w:val="nil"/>
            </w:tcBorders>
            <w:shd w:val="clear" w:color="auto" w:fill="auto"/>
            <w:vAlign w:val="center"/>
          </w:tcPr>
          <w:p w14:paraId="41BA7F08">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single" w:color="auto" w:sz="4" w:space="0"/>
              <w:right w:val="nil"/>
            </w:tcBorders>
            <w:shd w:val="clear" w:color="auto" w:fill="auto"/>
            <w:vAlign w:val="center"/>
          </w:tcPr>
          <w:p w14:paraId="398894D4">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有瘀斑瘀点</w:t>
            </w:r>
          </w:p>
        </w:tc>
        <w:tc>
          <w:tcPr>
            <w:tcW w:w="1502" w:type="dxa"/>
            <w:tcBorders>
              <w:top w:val="nil"/>
              <w:left w:val="nil"/>
              <w:bottom w:val="single" w:color="auto" w:sz="4" w:space="0"/>
              <w:right w:val="nil"/>
            </w:tcBorders>
            <w:shd w:val="clear" w:color="auto" w:fill="auto"/>
            <w:vAlign w:val="center"/>
          </w:tcPr>
          <w:p w14:paraId="4493EAD7">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3.8</w:t>
            </w:r>
          </w:p>
        </w:tc>
      </w:tr>
      <w:tr w14:paraId="2ACE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restart"/>
            <w:tcBorders>
              <w:top w:val="single" w:color="auto" w:sz="4" w:space="0"/>
              <w:left w:val="nil"/>
              <w:bottom w:val="single" w:color="auto" w:sz="8" w:space="0"/>
              <w:right w:val="nil"/>
            </w:tcBorders>
            <w:shd w:val="clear" w:color="auto" w:fill="auto"/>
            <w:vAlign w:val="center"/>
          </w:tcPr>
          <w:p w14:paraId="2D4F065C">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宋体" w:hAnsi="宋体" w:eastAsia="宋体" w:cs="Times New Roman"/>
                <w:kern w:val="0"/>
                <w:sz w:val="21"/>
                <w:szCs w:val="21"/>
                <w:lang w:val="en-US" w:eastAsia="zh-CN" w:bidi="ar"/>
              </w:rPr>
              <w:t>次症</w:t>
            </w:r>
          </w:p>
        </w:tc>
        <w:tc>
          <w:tcPr>
            <w:tcW w:w="5386" w:type="dxa"/>
            <w:tcBorders>
              <w:top w:val="single" w:color="auto" w:sz="4" w:space="0"/>
              <w:left w:val="nil"/>
              <w:bottom w:val="nil"/>
              <w:right w:val="nil"/>
            </w:tcBorders>
            <w:shd w:val="clear" w:color="auto" w:fill="auto"/>
            <w:vAlign w:val="center"/>
          </w:tcPr>
          <w:p w14:paraId="5A5EB7B3">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诱发症状阈值较前降低</w:t>
            </w:r>
          </w:p>
        </w:tc>
        <w:tc>
          <w:tcPr>
            <w:tcW w:w="1502" w:type="dxa"/>
            <w:tcBorders>
              <w:top w:val="single" w:color="auto" w:sz="4" w:space="0"/>
              <w:left w:val="nil"/>
              <w:bottom w:val="nil"/>
              <w:right w:val="nil"/>
            </w:tcBorders>
            <w:shd w:val="clear" w:color="auto" w:fill="auto"/>
            <w:vAlign w:val="center"/>
          </w:tcPr>
          <w:p w14:paraId="2A2207FC">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3.6</w:t>
            </w:r>
          </w:p>
        </w:tc>
      </w:tr>
      <w:tr w14:paraId="2456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02FA0ABC">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04FBC0E8">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自汗</w:t>
            </w:r>
          </w:p>
        </w:tc>
        <w:tc>
          <w:tcPr>
            <w:tcW w:w="1502" w:type="dxa"/>
            <w:tcBorders>
              <w:top w:val="nil"/>
              <w:left w:val="nil"/>
              <w:bottom w:val="nil"/>
              <w:right w:val="nil"/>
            </w:tcBorders>
            <w:shd w:val="clear" w:color="auto" w:fill="auto"/>
            <w:vAlign w:val="center"/>
          </w:tcPr>
          <w:p w14:paraId="50E0E5A9">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3.6</w:t>
            </w:r>
          </w:p>
        </w:tc>
      </w:tr>
      <w:tr w14:paraId="4A65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7F5D183F">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737FAEF9">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少气懒言</w:t>
            </w:r>
          </w:p>
        </w:tc>
        <w:tc>
          <w:tcPr>
            <w:tcW w:w="1502" w:type="dxa"/>
            <w:tcBorders>
              <w:top w:val="nil"/>
              <w:left w:val="nil"/>
              <w:bottom w:val="nil"/>
              <w:right w:val="nil"/>
            </w:tcBorders>
            <w:shd w:val="clear" w:color="auto" w:fill="auto"/>
            <w:vAlign w:val="center"/>
          </w:tcPr>
          <w:p w14:paraId="067FC968">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3.6</w:t>
            </w:r>
          </w:p>
        </w:tc>
      </w:tr>
      <w:tr w14:paraId="6543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51BBD3B4">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2191CE3F">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动则喘息</w:t>
            </w:r>
          </w:p>
        </w:tc>
        <w:tc>
          <w:tcPr>
            <w:tcW w:w="1502" w:type="dxa"/>
            <w:tcBorders>
              <w:top w:val="nil"/>
              <w:left w:val="nil"/>
              <w:bottom w:val="nil"/>
              <w:right w:val="nil"/>
            </w:tcBorders>
            <w:shd w:val="clear" w:color="auto" w:fill="auto"/>
            <w:vAlign w:val="center"/>
          </w:tcPr>
          <w:p w14:paraId="394EEE87">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4.8</w:t>
            </w:r>
          </w:p>
        </w:tc>
      </w:tr>
      <w:tr w14:paraId="49CC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19A68F4C">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3B03B3FB">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胸部隐痛</w:t>
            </w:r>
          </w:p>
        </w:tc>
        <w:tc>
          <w:tcPr>
            <w:tcW w:w="1502" w:type="dxa"/>
            <w:tcBorders>
              <w:top w:val="nil"/>
              <w:left w:val="nil"/>
              <w:bottom w:val="nil"/>
              <w:right w:val="nil"/>
            </w:tcBorders>
            <w:shd w:val="clear" w:color="auto" w:fill="auto"/>
            <w:vAlign w:val="center"/>
          </w:tcPr>
          <w:p w14:paraId="5209D5B5">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4.2</w:t>
            </w:r>
          </w:p>
        </w:tc>
      </w:tr>
      <w:tr w14:paraId="120A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39500DEA">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40A437FC">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烦躁</w:t>
            </w:r>
          </w:p>
        </w:tc>
        <w:tc>
          <w:tcPr>
            <w:tcW w:w="1502" w:type="dxa"/>
            <w:tcBorders>
              <w:top w:val="nil"/>
              <w:left w:val="nil"/>
              <w:bottom w:val="nil"/>
              <w:right w:val="nil"/>
            </w:tcBorders>
            <w:shd w:val="clear" w:color="auto" w:fill="auto"/>
            <w:vAlign w:val="center"/>
          </w:tcPr>
          <w:p w14:paraId="0734747C">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4.2</w:t>
            </w:r>
          </w:p>
        </w:tc>
      </w:tr>
      <w:tr w14:paraId="2F61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098632F4">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single" w:color="auto" w:sz="8" w:space="0"/>
              <w:right w:val="nil"/>
            </w:tcBorders>
            <w:shd w:val="clear" w:color="auto" w:fill="auto"/>
            <w:vAlign w:val="center"/>
          </w:tcPr>
          <w:p w14:paraId="2BA40223">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大便秘结</w:t>
            </w:r>
          </w:p>
        </w:tc>
        <w:tc>
          <w:tcPr>
            <w:tcW w:w="1502" w:type="dxa"/>
            <w:tcBorders>
              <w:top w:val="nil"/>
              <w:left w:val="nil"/>
              <w:bottom w:val="single" w:color="auto" w:sz="8" w:space="0"/>
              <w:right w:val="nil"/>
            </w:tcBorders>
            <w:shd w:val="clear" w:color="auto" w:fill="auto"/>
            <w:vAlign w:val="center"/>
          </w:tcPr>
          <w:p w14:paraId="63FEB131">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1.2</w:t>
            </w:r>
          </w:p>
        </w:tc>
      </w:tr>
    </w:tbl>
    <w:p w14:paraId="0DA27044"/>
    <w:p w14:paraId="4F3D2762"/>
    <w:p w14:paraId="01D5CAD1">
      <w:pPr>
        <w:pStyle w:val="15"/>
        <w:tabs>
          <w:tab w:val="center" w:pos="4201"/>
          <w:tab w:val="right" w:leader="dot" w:pos="9298"/>
        </w:tabs>
        <w:spacing w:line="360" w:lineRule="auto"/>
        <w:ind w:firstLine="0" w:firstLineChars="0"/>
        <w:jc w:val="center"/>
        <w:rPr>
          <w:rFonts w:hint="default" w:ascii="Times New Roman" w:eastAsia="黑体" w:hAnsiTheme="minorHAnsi" w:cstheme="minorBidi"/>
          <w:kern w:val="2"/>
          <w:szCs w:val="22"/>
          <w:lang w:val="en-US" w:eastAsia="zh-CN"/>
        </w:rPr>
      </w:pPr>
      <w:r>
        <w:rPr>
          <w:rFonts w:hint="eastAsia" w:ascii="Times New Roman" w:eastAsia="黑体" w:hAnsiTheme="minorHAnsi" w:cstheme="minorBidi"/>
          <w:kern w:val="2"/>
          <w:szCs w:val="22"/>
          <w:lang w:val="en-US" w:eastAsia="zh-CN"/>
        </w:rPr>
        <w:t>表1 不稳定性心绞痛虚瘀毒证诊断依据表（续）</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418"/>
        <w:gridCol w:w="5386"/>
        <w:gridCol w:w="1502"/>
      </w:tblGrid>
      <w:tr w14:paraId="1BF8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418" w:type="dxa"/>
            <w:tcBorders>
              <w:top w:val="single" w:color="auto" w:sz="8" w:space="0"/>
              <w:left w:val="nil"/>
              <w:bottom w:val="single" w:color="auto" w:sz="4" w:space="0"/>
              <w:right w:val="nil"/>
            </w:tcBorders>
            <w:shd w:val="clear" w:color="auto" w:fill="auto"/>
            <w:vAlign w:val="center"/>
          </w:tcPr>
          <w:p w14:paraId="3DB98E91">
            <w:pPr>
              <w:keepNext w:val="0"/>
              <w:keepLines w:val="0"/>
              <w:widowControl/>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
              </w:rPr>
              <w:t>类型</w:t>
            </w:r>
          </w:p>
        </w:tc>
        <w:tc>
          <w:tcPr>
            <w:tcW w:w="5386" w:type="dxa"/>
            <w:tcBorders>
              <w:top w:val="single" w:color="auto" w:sz="8" w:space="0"/>
              <w:left w:val="nil"/>
              <w:bottom w:val="single" w:color="auto" w:sz="4" w:space="0"/>
              <w:right w:val="nil"/>
            </w:tcBorders>
            <w:shd w:val="clear" w:color="auto" w:fill="auto"/>
            <w:vAlign w:val="center"/>
          </w:tcPr>
          <w:p w14:paraId="637DA344">
            <w:pPr>
              <w:keepNext w:val="0"/>
              <w:keepLines w:val="0"/>
              <w:widowControl/>
              <w:suppressLineNumbers w:val="0"/>
              <w:autoSpaceDE w:val="0"/>
              <w:autoSpaceDN w:val="0"/>
              <w:adjustRightInd w:val="0"/>
              <w:spacing w:before="0" w:beforeAutospacing="0" w:after="0" w:afterAutospacing="0" w:line="360" w:lineRule="auto"/>
              <w:ind w:left="0" w:leftChars="0" w:right="0" w:rightChars="0"/>
              <w:jc w:val="center"/>
              <w:rPr>
                <w:rFonts w:hint="default"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
              </w:rPr>
              <w:t>诊断条目</w:t>
            </w:r>
          </w:p>
        </w:tc>
        <w:tc>
          <w:tcPr>
            <w:tcW w:w="1502" w:type="dxa"/>
            <w:tcBorders>
              <w:top w:val="single" w:color="auto" w:sz="8" w:space="0"/>
              <w:left w:val="nil"/>
              <w:bottom w:val="single" w:color="auto" w:sz="4" w:space="0"/>
              <w:right w:val="nil"/>
            </w:tcBorders>
            <w:shd w:val="clear" w:color="auto" w:fill="auto"/>
            <w:vAlign w:val="center"/>
          </w:tcPr>
          <w:p w14:paraId="04920526">
            <w:pPr>
              <w:keepNext w:val="0"/>
              <w:keepLines w:val="0"/>
              <w:widowControl/>
              <w:suppressLineNumbers w:val="0"/>
              <w:autoSpaceDE w:val="0"/>
              <w:autoSpaceDN w:val="0"/>
              <w:adjustRightInd w:val="0"/>
              <w:spacing w:before="0" w:beforeAutospacing="0" w:after="0" w:afterAutospacing="0" w:line="360" w:lineRule="auto"/>
              <w:ind w:left="0" w:leftChars="0" w:right="0" w:rightChars="0"/>
              <w:jc w:val="center"/>
              <w:rPr>
                <w:rFonts w:hint="default"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
              </w:rPr>
              <w:t>权重量化赋分</w:t>
            </w:r>
          </w:p>
        </w:tc>
      </w:tr>
      <w:tr w14:paraId="144C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restart"/>
            <w:tcBorders>
              <w:top w:val="single" w:color="auto" w:sz="4" w:space="0"/>
              <w:left w:val="nil"/>
              <w:right w:val="nil"/>
            </w:tcBorders>
            <w:shd w:val="clear" w:color="auto" w:fill="auto"/>
            <w:vAlign w:val="center"/>
          </w:tcPr>
          <w:p w14:paraId="11A06C10">
            <w:pPr>
              <w:keepNext w:val="0"/>
              <w:keepLines w:val="0"/>
              <w:suppressLineNumbers w:val="0"/>
              <w:spacing w:before="0" w:beforeAutospacing="0" w:after="0" w:afterAutospacing="0"/>
              <w:ind w:left="0" w:right="0"/>
              <w:jc w:val="center"/>
              <w:rPr>
                <w:rFonts w:hint="eastAsia" w:ascii="等线" w:hAnsi="等线" w:eastAsia="等线" w:cs="等线"/>
                <w:sz w:val="20"/>
                <w:szCs w:val="20"/>
                <w:lang w:val="en-US" w:eastAsia="zh-CN"/>
              </w:rPr>
            </w:pPr>
            <w:r>
              <w:rPr>
                <w:rFonts w:hint="eastAsia" w:ascii="宋体" w:hAnsi="宋体" w:eastAsia="宋体" w:cs="宋体"/>
                <w:sz w:val="20"/>
                <w:szCs w:val="20"/>
                <w:lang w:val="en-US" w:eastAsia="zh-CN"/>
              </w:rPr>
              <w:t>次症</w:t>
            </w:r>
          </w:p>
        </w:tc>
        <w:tc>
          <w:tcPr>
            <w:tcW w:w="5386" w:type="dxa"/>
            <w:tcBorders>
              <w:top w:val="single" w:color="auto" w:sz="4" w:space="0"/>
              <w:left w:val="nil"/>
              <w:bottom w:val="nil"/>
              <w:right w:val="nil"/>
            </w:tcBorders>
            <w:shd w:val="clear" w:color="auto" w:fill="auto"/>
            <w:vAlign w:val="center"/>
          </w:tcPr>
          <w:p w14:paraId="4EEA450F">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6</w:t>
            </w:r>
            <w:r>
              <w:rPr>
                <w:rFonts w:hint="eastAsia" w:ascii="Times New Roman" w:hAnsi="Times New Roman" w:eastAsia="宋体" w:cs="Times New Roman"/>
                <w:kern w:val="0"/>
                <w:sz w:val="21"/>
                <w:szCs w:val="21"/>
                <w:lang w:val="en-US" w:eastAsia="zh-CN" w:bidi="ar"/>
              </w:rPr>
              <w:t>分钟步行距离缩短</w:t>
            </w:r>
          </w:p>
        </w:tc>
        <w:tc>
          <w:tcPr>
            <w:tcW w:w="1502" w:type="dxa"/>
            <w:tcBorders>
              <w:top w:val="single" w:color="auto" w:sz="4" w:space="0"/>
              <w:left w:val="nil"/>
              <w:bottom w:val="nil"/>
              <w:right w:val="nil"/>
            </w:tcBorders>
            <w:shd w:val="clear" w:color="auto" w:fill="auto"/>
            <w:vAlign w:val="center"/>
          </w:tcPr>
          <w:p w14:paraId="21CD4851">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2.0</w:t>
            </w:r>
          </w:p>
        </w:tc>
      </w:tr>
      <w:tr w14:paraId="690D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45A99546">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25B7D4C4">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冠脉</w:t>
            </w:r>
            <w:r>
              <w:rPr>
                <w:rFonts w:hint="default" w:ascii="Times New Roman" w:hAnsi="Times New Roman" w:eastAsia="宋体" w:cs="Times New Roman"/>
                <w:kern w:val="0"/>
                <w:sz w:val="21"/>
                <w:szCs w:val="21"/>
                <w:lang w:val="en-US" w:eastAsia="zh-CN" w:bidi="ar"/>
              </w:rPr>
              <w:t>CTA</w:t>
            </w:r>
            <w:r>
              <w:rPr>
                <w:rFonts w:hint="eastAsia" w:ascii="Times New Roman" w:hAnsi="Times New Roman" w:eastAsia="宋体" w:cs="Times New Roman"/>
                <w:kern w:val="0"/>
                <w:sz w:val="21"/>
                <w:szCs w:val="21"/>
                <w:lang w:val="en-US" w:eastAsia="zh-CN" w:bidi="ar"/>
              </w:rPr>
              <w:t>或冠脉造影示血管明显钙化或弥漫病变</w:t>
            </w:r>
          </w:p>
        </w:tc>
        <w:tc>
          <w:tcPr>
            <w:tcW w:w="1502" w:type="dxa"/>
            <w:tcBorders>
              <w:top w:val="nil"/>
              <w:left w:val="nil"/>
              <w:bottom w:val="nil"/>
              <w:right w:val="nil"/>
            </w:tcBorders>
            <w:shd w:val="clear" w:color="auto" w:fill="auto"/>
            <w:vAlign w:val="center"/>
          </w:tcPr>
          <w:p w14:paraId="5736272C">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2.2</w:t>
            </w:r>
          </w:p>
        </w:tc>
      </w:tr>
      <w:tr w14:paraId="6EE0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58DB4525">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38BB084B">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造影或血管超声示其他血管狭窄（</w:t>
            </w:r>
            <w:r>
              <w:rPr>
                <w:rFonts w:hint="eastAsia" w:ascii="宋体" w:hAnsi="宋体" w:eastAsia="宋体" w:cs="Times New Roman"/>
                <w:kern w:val="0"/>
                <w:sz w:val="21"/>
                <w:szCs w:val="21"/>
                <w:lang w:val="en-US" w:eastAsia="zh-CN" w:bidi="ar"/>
              </w:rPr>
              <w:t>≥</w:t>
            </w:r>
            <w:r>
              <w:rPr>
                <w:rFonts w:hint="default" w:ascii="Times New Roman" w:hAnsi="Times New Roman" w:eastAsia="宋体" w:cs="Times New Roman"/>
                <w:kern w:val="0"/>
                <w:sz w:val="21"/>
                <w:szCs w:val="21"/>
                <w:lang w:val="en-US" w:eastAsia="zh-CN" w:bidi="ar"/>
              </w:rPr>
              <w:t>50%</w:t>
            </w:r>
            <w:r>
              <w:rPr>
                <w:rFonts w:hint="eastAsia" w:ascii="Times New Roman" w:hAnsi="Times New Roman" w:eastAsia="宋体" w:cs="Times New Roman"/>
                <w:kern w:val="0"/>
                <w:sz w:val="21"/>
                <w:szCs w:val="21"/>
                <w:lang w:val="en-US" w:eastAsia="zh-CN" w:bidi="ar"/>
              </w:rPr>
              <w:t>）</w:t>
            </w:r>
          </w:p>
        </w:tc>
        <w:tc>
          <w:tcPr>
            <w:tcW w:w="1502" w:type="dxa"/>
            <w:tcBorders>
              <w:top w:val="nil"/>
              <w:left w:val="nil"/>
              <w:bottom w:val="nil"/>
              <w:right w:val="nil"/>
            </w:tcBorders>
            <w:shd w:val="clear" w:color="auto" w:fill="auto"/>
            <w:vAlign w:val="center"/>
          </w:tcPr>
          <w:p w14:paraId="50C75C65">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2.2</w:t>
            </w:r>
          </w:p>
        </w:tc>
      </w:tr>
      <w:tr w14:paraId="1725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0840E570">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25A45982">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超声显示心脏或血管内有附壁血栓</w:t>
            </w:r>
          </w:p>
        </w:tc>
        <w:tc>
          <w:tcPr>
            <w:tcW w:w="1502" w:type="dxa"/>
            <w:tcBorders>
              <w:top w:val="nil"/>
              <w:left w:val="nil"/>
              <w:bottom w:val="nil"/>
              <w:right w:val="nil"/>
            </w:tcBorders>
            <w:shd w:val="clear" w:color="auto" w:fill="auto"/>
            <w:vAlign w:val="center"/>
          </w:tcPr>
          <w:p w14:paraId="317999C8">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2.0</w:t>
            </w:r>
          </w:p>
        </w:tc>
      </w:tr>
      <w:tr w14:paraId="69F3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5C6AFA75">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687BF6D2">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血液流变学异常（</w:t>
            </w:r>
            <w:r>
              <w:rPr>
                <w:rFonts w:hint="default" w:ascii="Times New Roman" w:hAnsi="Times New Roman" w:eastAsia="宋体" w:cs="Times New Roman"/>
                <w:kern w:val="0"/>
                <w:sz w:val="21"/>
                <w:szCs w:val="21"/>
                <w:lang w:val="en-US" w:eastAsia="zh-CN" w:bidi="ar"/>
              </w:rPr>
              <w:t>PV</w:t>
            </w:r>
            <w:r>
              <w:rPr>
                <w:rFonts w:hint="eastAsia" w:ascii="Times New Roman" w:hAnsi="Times New Roman" w:eastAsia="宋体" w:cs="Times New Roman"/>
                <w:kern w:val="0"/>
                <w:sz w:val="21"/>
                <w:szCs w:val="21"/>
                <w:lang w:val="en-US" w:eastAsia="zh-CN" w:bidi="ar"/>
              </w:rPr>
              <w:t>或</w:t>
            </w:r>
            <w:r>
              <w:rPr>
                <w:rFonts w:hint="default" w:ascii="Times New Roman" w:hAnsi="Times New Roman" w:eastAsia="宋体" w:cs="Times New Roman"/>
                <w:kern w:val="0"/>
                <w:sz w:val="21"/>
                <w:szCs w:val="21"/>
                <w:lang w:val="en-US" w:eastAsia="zh-CN" w:bidi="ar"/>
              </w:rPr>
              <w:t>ESR</w:t>
            </w:r>
            <w:r>
              <w:rPr>
                <w:rFonts w:hint="eastAsia" w:ascii="Times New Roman" w:hAnsi="Times New Roman" w:eastAsia="宋体" w:cs="Times New Roman"/>
                <w:kern w:val="0"/>
                <w:sz w:val="21"/>
                <w:szCs w:val="21"/>
                <w:lang w:val="en-US" w:eastAsia="zh-CN" w:bidi="ar"/>
              </w:rPr>
              <w:t>或红细胞聚集指数等异常）</w:t>
            </w:r>
          </w:p>
        </w:tc>
        <w:tc>
          <w:tcPr>
            <w:tcW w:w="1502" w:type="dxa"/>
            <w:tcBorders>
              <w:top w:val="nil"/>
              <w:left w:val="nil"/>
              <w:bottom w:val="nil"/>
              <w:right w:val="nil"/>
            </w:tcBorders>
            <w:shd w:val="clear" w:color="auto" w:fill="auto"/>
            <w:vAlign w:val="center"/>
          </w:tcPr>
          <w:p w14:paraId="17635103">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1.6</w:t>
            </w:r>
          </w:p>
        </w:tc>
      </w:tr>
      <w:tr w14:paraId="6772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209BFA9A">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4C6C2107">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IL-6</w:t>
            </w:r>
            <w:r>
              <w:rPr>
                <w:rFonts w:hint="eastAsia" w:ascii="Times New Roman" w:hAnsi="Times New Roman" w:eastAsia="宋体" w:cs="Times New Roman"/>
                <w:kern w:val="0"/>
                <w:sz w:val="21"/>
                <w:szCs w:val="21"/>
                <w:lang w:val="en-US" w:eastAsia="zh-CN" w:bidi="ar"/>
              </w:rPr>
              <w:t>或</w:t>
            </w:r>
            <w:r>
              <w:rPr>
                <w:rFonts w:hint="default" w:ascii="Times New Roman" w:hAnsi="Times New Roman" w:eastAsia="宋体" w:cs="Times New Roman"/>
                <w:kern w:val="0"/>
                <w:sz w:val="21"/>
                <w:szCs w:val="21"/>
                <w:lang w:val="en-US" w:eastAsia="zh-CN" w:bidi="ar"/>
              </w:rPr>
              <w:t>IL-17</w:t>
            </w:r>
            <w:r>
              <w:rPr>
                <w:rFonts w:hint="eastAsia" w:ascii="Times New Roman" w:hAnsi="Times New Roman" w:eastAsia="宋体" w:cs="Times New Roman"/>
                <w:kern w:val="0"/>
                <w:sz w:val="21"/>
                <w:szCs w:val="21"/>
                <w:lang w:val="en-US" w:eastAsia="zh-CN" w:bidi="ar"/>
              </w:rPr>
              <w:t>或</w:t>
            </w:r>
            <w:r>
              <w:rPr>
                <w:rFonts w:hint="default" w:ascii="Times New Roman" w:hAnsi="Times New Roman" w:eastAsia="宋体" w:cs="Times New Roman"/>
                <w:kern w:val="0"/>
                <w:sz w:val="21"/>
                <w:szCs w:val="21"/>
                <w:lang w:val="en-US" w:eastAsia="zh-CN" w:bidi="ar"/>
              </w:rPr>
              <w:t>IL-18</w:t>
            </w:r>
            <w:r>
              <w:rPr>
                <w:rFonts w:hint="eastAsia" w:ascii="Times New Roman" w:hAnsi="Times New Roman" w:eastAsia="宋体" w:cs="Times New Roman"/>
                <w:kern w:val="0"/>
                <w:sz w:val="21"/>
                <w:szCs w:val="21"/>
                <w:lang w:val="en-US" w:eastAsia="zh-CN" w:bidi="ar"/>
              </w:rPr>
              <w:t>升高</w:t>
            </w:r>
          </w:p>
        </w:tc>
        <w:tc>
          <w:tcPr>
            <w:tcW w:w="1502" w:type="dxa"/>
            <w:tcBorders>
              <w:top w:val="nil"/>
              <w:left w:val="nil"/>
              <w:bottom w:val="nil"/>
              <w:right w:val="nil"/>
            </w:tcBorders>
            <w:shd w:val="clear" w:color="auto" w:fill="auto"/>
            <w:vAlign w:val="center"/>
          </w:tcPr>
          <w:p w14:paraId="5F127648">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1.6</w:t>
            </w:r>
          </w:p>
        </w:tc>
      </w:tr>
      <w:tr w14:paraId="5917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349817D3">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3C54BB90">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TNF-α</w:t>
            </w:r>
            <w:r>
              <w:rPr>
                <w:rFonts w:hint="eastAsia" w:ascii="Times New Roman" w:hAnsi="Times New Roman" w:eastAsia="宋体" w:cs="Times New Roman"/>
                <w:kern w:val="0"/>
                <w:sz w:val="21"/>
                <w:szCs w:val="21"/>
                <w:lang w:val="en-US" w:eastAsia="zh-CN" w:bidi="ar"/>
              </w:rPr>
              <w:t>升高</w:t>
            </w:r>
          </w:p>
        </w:tc>
        <w:tc>
          <w:tcPr>
            <w:tcW w:w="1502" w:type="dxa"/>
            <w:tcBorders>
              <w:top w:val="nil"/>
              <w:left w:val="nil"/>
              <w:bottom w:val="nil"/>
              <w:right w:val="nil"/>
            </w:tcBorders>
            <w:shd w:val="clear" w:color="auto" w:fill="auto"/>
            <w:vAlign w:val="center"/>
          </w:tcPr>
          <w:p w14:paraId="5A628677">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2.0</w:t>
            </w:r>
          </w:p>
        </w:tc>
      </w:tr>
      <w:tr w14:paraId="066B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40ED66CD">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74446A27">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Gensini</w:t>
            </w:r>
            <w:r>
              <w:rPr>
                <w:rFonts w:hint="eastAsia" w:ascii="Times New Roman" w:hAnsi="Times New Roman" w:eastAsia="宋体" w:cs="Times New Roman"/>
                <w:kern w:val="0"/>
                <w:sz w:val="21"/>
                <w:szCs w:val="21"/>
                <w:lang w:val="en-US" w:eastAsia="zh-CN" w:bidi="ar"/>
              </w:rPr>
              <w:t>评分示中度</w:t>
            </w:r>
            <w:r>
              <w:rPr>
                <w:rFonts w:hint="default" w:ascii="Times New Roman" w:hAnsi="Times New Roman" w:eastAsia="宋体" w:cs="Times New Roman"/>
                <w:kern w:val="0"/>
                <w:sz w:val="21"/>
                <w:szCs w:val="21"/>
                <w:lang w:val="en-US" w:eastAsia="zh-CN" w:bidi="ar"/>
              </w:rPr>
              <w:t>-</w:t>
            </w:r>
            <w:r>
              <w:rPr>
                <w:rFonts w:hint="eastAsia" w:ascii="Times New Roman" w:hAnsi="Times New Roman" w:eastAsia="宋体" w:cs="Times New Roman"/>
                <w:kern w:val="0"/>
                <w:sz w:val="21"/>
                <w:szCs w:val="21"/>
                <w:lang w:val="en-US" w:eastAsia="zh-CN" w:bidi="ar"/>
              </w:rPr>
              <w:t>重度病变</w:t>
            </w:r>
          </w:p>
        </w:tc>
        <w:tc>
          <w:tcPr>
            <w:tcW w:w="1502" w:type="dxa"/>
            <w:tcBorders>
              <w:top w:val="nil"/>
              <w:left w:val="nil"/>
              <w:bottom w:val="nil"/>
              <w:right w:val="nil"/>
            </w:tcBorders>
            <w:shd w:val="clear" w:color="auto" w:fill="auto"/>
            <w:vAlign w:val="center"/>
          </w:tcPr>
          <w:p w14:paraId="39F3F946">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1.4</w:t>
            </w:r>
          </w:p>
        </w:tc>
      </w:tr>
      <w:tr w14:paraId="5EC4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18B11615">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4AFC738A">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舌紫</w:t>
            </w:r>
          </w:p>
        </w:tc>
        <w:tc>
          <w:tcPr>
            <w:tcW w:w="1502" w:type="dxa"/>
            <w:tcBorders>
              <w:top w:val="nil"/>
              <w:left w:val="nil"/>
              <w:bottom w:val="nil"/>
              <w:right w:val="nil"/>
            </w:tcBorders>
            <w:shd w:val="clear" w:color="auto" w:fill="auto"/>
            <w:vAlign w:val="center"/>
          </w:tcPr>
          <w:p w14:paraId="65E174D7">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3.2</w:t>
            </w:r>
          </w:p>
        </w:tc>
      </w:tr>
      <w:tr w14:paraId="3DB4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486CFBB6">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5465DA03">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舌下络脉色深或增粗或扩张或迂曲</w:t>
            </w:r>
          </w:p>
        </w:tc>
        <w:tc>
          <w:tcPr>
            <w:tcW w:w="1502" w:type="dxa"/>
            <w:tcBorders>
              <w:top w:val="nil"/>
              <w:left w:val="nil"/>
              <w:bottom w:val="nil"/>
              <w:right w:val="nil"/>
            </w:tcBorders>
            <w:shd w:val="clear" w:color="auto" w:fill="auto"/>
            <w:vAlign w:val="center"/>
          </w:tcPr>
          <w:p w14:paraId="6A812AA2">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3.8</w:t>
            </w:r>
          </w:p>
        </w:tc>
      </w:tr>
      <w:tr w14:paraId="2314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764C7DFC">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nil"/>
              <w:right w:val="nil"/>
            </w:tcBorders>
            <w:shd w:val="clear" w:color="auto" w:fill="auto"/>
            <w:vAlign w:val="center"/>
          </w:tcPr>
          <w:p w14:paraId="7723D0CE">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脉涩</w:t>
            </w:r>
          </w:p>
        </w:tc>
        <w:tc>
          <w:tcPr>
            <w:tcW w:w="1502" w:type="dxa"/>
            <w:tcBorders>
              <w:top w:val="nil"/>
              <w:left w:val="nil"/>
              <w:bottom w:val="nil"/>
              <w:right w:val="nil"/>
            </w:tcBorders>
            <w:shd w:val="clear" w:color="auto" w:fill="auto"/>
            <w:vAlign w:val="center"/>
          </w:tcPr>
          <w:p w14:paraId="52A49DE6">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0.8</w:t>
            </w:r>
          </w:p>
        </w:tc>
      </w:tr>
      <w:tr w14:paraId="2A3B9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Merge w:val="continue"/>
            <w:tcBorders>
              <w:top w:val="single" w:color="auto" w:sz="4" w:space="0"/>
              <w:left w:val="nil"/>
              <w:bottom w:val="single" w:color="auto" w:sz="8" w:space="0"/>
              <w:right w:val="nil"/>
            </w:tcBorders>
            <w:shd w:val="clear" w:color="auto" w:fill="auto"/>
            <w:vAlign w:val="center"/>
          </w:tcPr>
          <w:p w14:paraId="35421F3E">
            <w:pPr>
              <w:keepNext w:val="0"/>
              <w:keepLines w:val="0"/>
              <w:suppressLineNumbers w:val="0"/>
              <w:spacing w:before="0" w:beforeAutospacing="0" w:after="0" w:afterAutospacing="0"/>
              <w:ind w:left="0" w:right="0"/>
              <w:rPr>
                <w:rFonts w:hint="eastAsia" w:ascii="等线" w:hAnsi="等线" w:eastAsia="等线" w:cs="等线"/>
                <w:sz w:val="20"/>
                <w:szCs w:val="20"/>
              </w:rPr>
            </w:pPr>
          </w:p>
        </w:tc>
        <w:tc>
          <w:tcPr>
            <w:tcW w:w="5386" w:type="dxa"/>
            <w:tcBorders>
              <w:top w:val="nil"/>
              <w:left w:val="nil"/>
              <w:bottom w:val="single" w:color="auto" w:sz="8" w:space="0"/>
              <w:right w:val="nil"/>
            </w:tcBorders>
            <w:shd w:val="clear" w:color="auto" w:fill="auto"/>
            <w:vAlign w:val="center"/>
          </w:tcPr>
          <w:p w14:paraId="6E47E40B">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eastAsia" w:ascii="Times New Roman" w:hAnsi="Times New Roman" w:eastAsia="宋体" w:cs="Times New Roman"/>
                <w:kern w:val="0"/>
                <w:sz w:val="21"/>
                <w:szCs w:val="21"/>
                <w:lang w:val="en-US" w:eastAsia="zh-CN" w:bidi="ar"/>
              </w:rPr>
              <w:t>脉弱</w:t>
            </w:r>
          </w:p>
        </w:tc>
        <w:tc>
          <w:tcPr>
            <w:tcW w:w="1502" w:type="dxa"/>
            <w:tcBorders>
              <w:top w:val="nil"/>
              <w:left w:val="nil"/>
              <w:bottom w:val="single" w:color="auto" w:sz="8" w:space="0"/>
              <w:right w:val="nil"/>
            </w:tcBorders>
            <w:shd w:val="clear" w:color="auto" w:fill="auto"/>
            <w:vAlign w:val="center"/>
          </w:tcPr>
          <w:p w14:paraId="4D9C833C">
            <w:pPr>
              <w:keepNext w:val="0"/>
              <w:keepLines w:val="0"/>
              <w:widowControl/>
              <w:suppressLineNumbers w:val="0"/>
              <w:autoSpaceDE w:val="0"/>
              <w:autoSpaceDN w:val="0"/>
              <w:adjustRightInd w:val="0"/>
              <w:spacing w:before="0" w:beforeAutospacing="0" w:after="0" w:afterAutospacing="0" w:line="360" w:lineRule="auto"/>
              <w:ind w:left="0" w:right="0"/>
              <w:jc w:val="center"/>
              <w:rPr>
                <w:rFonts w:hint="default" w:ascii="Times New Roman" w:hAnsi="Times New Roman" w:eastAsia="宋体" w:cs="Times New Roman"/>
                <w:kern w:val="0"/>
                <w:szCs w:val="21"/>
                <w:lang w:val="en-US"/>
              </w:rPr>
            </w:pPr>
            <w:r>
              <w:rPr>
                <w:rFonts w:hint="default" w:ascii="Times New Roman" w:hAnsi="Times New Roman" w:eastAsia="宋体" w:cs="Times New Roman"/>
                <w:kern w:val="0"/>
                <w:sz w:val="21"/>
                <w:szCs w:val="21"/>
                <w:lang w:val="en-US" w:eastAsia="zh-CN" w:bidi="ar"/>
              </w:rPr>
              <w:t>1.2</w:t>
            </w:r>
          </w:p>
        </w:tc>
      </w:tr>
    </w:tbl>
    <w:p w14:paraId="680118C8">
      <w:pPr>
        <w:pStyle w:val="15"/>
        <w:tabs>
          <w:tab w:val="center" w:pos="4201"/>
          <w:tab w:val="right" w:leader="dot" w:pos="9298"/>
        </w:tabs>
        <w:ind w:firstLine="0" w:firstLineChars="0"/>
        <w:rPr>
          <w:rFonts w:hint="eastAsia" w:ascii="Times New Roman" w:eastAsia="黑体" w:hAnsiTheme="minorHAnsi" w:cstheme="minorBidi"/>
          <w:kern w:val="2"/>
          <w:szCs w:val="22"/>
          <w:lang w:val="en-US" w:eastAsia="zh-CN"/>
        </w:rPr>
      </w:pPr>
    </w:p>
    <w:p w14:paraId="173AAFB2">
      <w:pPr>
        <w:pStyle w:val="15"/>
        <w:tabs>
          <w:tab w:val="center" w:pos="4201"/>
          <w:tab w:val="right" w:leader="dot" w:pos="9298"/>
        </w:tabs>
        <w:spacing w:line="360" w:lineRule="auto"/>
        <w:ind w:left="0" w:leftChars="0" w:firstLine="0" w:firstLineChars="0"/>
        <w:rPr>
          <w:rFonts w:ascii="Times New Roman"/>
          <w:color w:val="000000"/>
        </w:rPr>
      </w:pPr>
      <w:r>
        <w:rPr>
          <w:rFonts w:hint="eastAsia" w:ascii="Times New Roman" w:eastAsia="黑体"/>
          <w:color w:val="000000"/>
          <w:lang w:val="en-US" w:eastAsia="zh-CN"/>
        </w:rPr>
        <w:t>5</w:t>
      </w:r>
      <w:r>
        <w:rPr>
          <w:rFonts w:ascii="Times New Roman" w:eastAsia="黑体"/>
          <w:color w:val="000000"/>
        </w:rPr>
        <w:t xml:space="preserve"> </w:t>
      </w:r>
      <w:r>
        <w:rPr>
          <w:rFonts w:ascii="Times New Roman" w:eastAsia="黑体"/>
          <w:kern w:val="2"/>
          <w:szCs w:val="22"/>
        </w:rPr>
        <w:t>不稳定性心绞痛虚瘀毒证的诊断原则</w:t>
      </w:r>
    </w:p>
    <w:p w14:paraId="366846EA">
      <w:pPr>
        <w:pStyle w:val="15"/>
        <w:tabs>
          <w:tab w:val="center" w:pos="4201"/>
          <w:tab w:val="right" w:leader="dot" w:pos="9298"/>
        </w:tabs>
        <w:spacing w:line="360" w:lineRule="auto"/>
        <w:ind w:firstLine="420"/>
        <w:rPr>
          <w:rFonts w:hint="eastAsia" w:ascii="Times New Roman"/>
          <w:color w:val="000000"/>
        </w:rPr>
      </w:pPr>
      <w:r>
        <w:rPr>
          <w:rFonts w:hint="eastAsia" w:ascii="Times New Roman"/>
          <w:color w:val="000000"/>
        </w:rPr>
        <w:t>本标准采用主要依据（主症）、次要依据（次症）、舌象或脉象相结合的诊断模式。</w:t>
      </w:r>
    </w:p>
    <w:p w14:paraId="41730DBD">
      <w:pPr>
        <w:pStyle w:val="15"/>
        <w:tabs>
          <w:tab w:val="center" w:pos="4201"/>
          <w:tab w:val="right" w:leader="dot" w:pos="9298"/>
        </w:tabs>
        <w:spacing w:line="360" w:lineRule="auto"/>
        <w:ind w:firstLine="420"/>
        <w:rPr>
          <w:rFonts w:ascii="Times New Roman"/>
          <w:color w:val="000000"/>
        </w:rPr>
      </w:pPr>
      <w:r>
        <w:rPr>
          <w:rFonts w:hint="eastAsia" w:ascii="Times New Roman"/>
          <w:color w:val="000000"/>
        </w:rPr>
        <w:t>不稳定性心绞痛虚瘀毒证的诊断原则：临床需要符合UA的诊断标准，且满足至少1条主症和至少1条次症，得分≥64.6分者，则可诊断为UA虚瘀毒证。</w:t>
      </w:r>
    </w:p>
    <w:p w14:paraId="75E2EFD6">
      <w:pPr>
        <w:pStyle w:val="15"/>
        <w:tabs>
          <w:tab w:val="center" w:pos="4201"/>
          <w:tab w:val="right" w:leader="dot" w:pos="9298"/>
        </w:tabs>
        <w:ind w:firstLine="420"/>
        <w:rPr>
          <w:rFonts w:ascii="Times New Roman"/>
          <w:color w:val="000000"/>
        </w:rPr>
      </w:pPr>
    </w:p>
    <w:p w14:paraId="1E17DF54">
      <w:pPr>
        <w:pStyle w:val="15"/>
        <w:tabs>
          <w:tab w:val="center" w:pos="4201"/>
          <w:tab w:val="right" w:leader="dot" w:pos="9298"/>
        </w:tabs>
        <w:ind w:firstLine="420"/>
        <w:rPr>
          <w:rFonts w:ascii="Times New Roman"/>
          <w:color w:val="000000"/>
        </w:rPr>
      </w:pPr>
    </w:p>
    <w:p w14:paraId="14DF534A">
      <w:pPr>
        <w:pStyle w:val="15"/>
        <w:tabs>
          <w:tab w:val="center" w:pos="4201"/>
          <w:tab w:val="right" w:leader="dot" w:pos="9298"/>
        </w:tabs>
        <w:ind w:firstLine="420"/>
        <w:rPr>
          <w:rFonts w:ascii="Times New Roman"/>
          <w:color w:val="000000"/>
        </w:rPr>
      </w:pPr>
    </w:p>
    <w:p w14:paraId="568AF315">
      <w:pPr>
        <w:pStyle w:val="15"/>
        <w:tabs>
          <w:tab w:val="center" w:pos="4201"/>
          <w:tab w:val="right" w:leader="dot" w:pos="9298"/>
        </w:tabs>
        <w:ind w:firstLine="420"/>
        <w:rPr>
          <w:rFonts w:ascii="Times New Roman"/>
          <w:color w:val="000000"/>
        </w:rPr>
      </w:pPr>
    </w:p>
    <w:p w14:paraId="2B9C451F">
      <w:pPr>
        <w:pStyle w:val="15"/>
        <w:tabs>
          <w:tab w:val="center" w:pos="4201"/>
          <w:tab w:val="right" w:leader="dot" w:pos="9298"/>
        </w:tabs>
        <w:ind w:firstLine="420"/>
        <w:rPr>
          <w:rFonts w:ascii="Times New Roman"/>
          <w:color w:val="000000"/>
        </w:rPr>
      </w:pPr>
    </w:p>
    <w:p w14:paraId="25147D98">
      <w:pPr>
        <w:pStyle w:val="15"/>
        <w:tabs>
          <w:tab w:val="center" w:pos="4201"/>
          <w:tab w:val="right" w:leader="dot" w:pos="9298"/>
        </w:tabs>
        <w:ind w:firstLine="420"/>
        <w:rPr>
          <w:rFonts w:ascii="Times New Roman"/>
          <w:color w:val="000000"/>
        </w:rPr>
      </w:pPr>
    </w:p>
    <w:p w14:paraId="1E230710">
      <w:pPr>
        <w:pStyle w:val="15"/>
        <w:tabs>
          <w:tab w:val="center" w:pos="4201"/>
          <w:tab w:val="right" w:leader="dot" w:pos="9298"/>
        </w:tabs>
        <w:ind w:firstLine="420"/>
        <w:rPr>
          <w:rFonts w:ascii="Times New Roman"/>
          <w:color w:val="000000"/>
        </w:rPr>
      </w:pPr>
    </w:p>
    <w:p w14:paraId="40D2B84B">
      <w:pPr>
        <w:pStyle w:val="15"/>
        <w:tabs>
          <w:tab w:val="center" w:pos="4201"/>
          <w:tab w:val="right" w:leader="dot" w:pos="9298"/>
        </w:tabs>
        <w:ind w:firstLine="420"/>
        <w:rPr>
          <w:rFonts w:ascii="Times New Roman"/>
          <w:color w:val="000000"/>
        </w:rPr>
      </w:pPr>
    </w:p>
    <w:p w14:paraId="6EF4FA06">
      <w:pPr>
        <w:pStyle w:val="15"/>
        <w:tabs>
          <w:tab w:val="center" w:pos="4201"/>
          <w:tab w:val="right" w:leader="dot" w:pos="9298"/>
        </w:tabs>
        <w:ind w:firstLine="420"/>
        <w:rPr>
          <w:rFonts w:ascii="Times New Roman"/>
          <w:color w:val="000000"/>
        </w:rPr>
      </w:pPr>
    </w:p>
    <w:p w14:paraId="47289DC8">
      <w:pPr>
        <w:pStyle w:val="15"/>
        <w:tabs>
          <w:tab w:val="center" w:pos="4201"/>
          <w:tab w:val="right" w:leader="dot" w:pos="9298"/>
        </w:tabs>
        <w:ind w:firstLine="420"/>
        <w:rPr>
          <w:rFonts w:ascii="Times New Roman"/>
          <w:color w:val="000000"/>
        </w:rPr>
      </w:pPr>
    </w:p>
    <w:p w14:paraId="7C39E72E">
      <w:pPr>
        <w:pStyle w:val="15"/>
        <w:tabs>
          <w:tab w:val="center" w:pos="4201"/>
          <w:tab w:val="right" w:leader="dot" w:pos="9298"/>
        </w:tabs>
        <w:ind w:firstLine="420"/>
        <w:rPr>
          <w:rFonts w:ascii="Times New Roman"/>
          <w:color w:val="000000"/>
        </w:rPr>
      </w:pPr>
    </w:p>
    <w:p w14:paraId="5466D4A2">
      <w:pPr>
        <w:pStyle w:val="15"/>
        <w:tabs>
          <w:tab w:val="center" w:pos="4201"/>
          <w:tab w:val="right" w:leader="dot" w:pos="9298"/>
        </w:tabs>
        <w:ind w:firstLine="420"/>
        <w:rPr>
          <w:rFonts w:ascii="Times New Roman"/>
          <w:color w:val="000000"/>
        </w:rPr>
      </w:pPr>
    </w:p>
    <w:p w14:paraId="07F82DB0">
      <w:pPr>
        <w:pStyle w:val="15"/>
        <w:tabs>
          <w:tab w:val="center" w:pos="4201"/>
          <w:tab w:val="right" w:leader="dot" w:pos="9298"/>
        </w:tabs>
        <w:ind w:firstLine="420"/>
        <w:rPr>
          <w:rFonts w:ascii="Times New Roman"/>
          <w:color w:val="000000"/>
        </w:rPr>
      </w:pPr>
    </w:p>
    <w:p w14:paraId="56FD5C74">
      <w:pPr>
        <w:pStyle w:val="15"/>
        <w:tabs>
          <w:tab w:val="center" w:pos="4201"/>
          <w:tab w:val="right" w:leader="dot" w:pos="9298"/>
        </w:tabs>
        <w:ind w:firstLine="420"/>
        <w:rPr>
          <w:rFonts w:ascii="Times New Roman"/>
          <w:color w:val="000000"/>
        </w:rPr>
      </w:pPr>
    </w:p>
    <w:p w14:paraId="50D0ABBA">
      <w:pPr>
        <w:pStyle w:val="15"/>
        <w:tabs>
          <w:tab w:val="center" w:pos="4201"/>
          <w:tab w:val="right" w:leader="dot" w:pos="9298"/>
        </w:tabs>
        <w:ind w:firstLine="420"/>
        <w:rPr>
          <w:rFonts w:ascii="Times New Roman"/>
          <w:color w:val="000000"/>
        </w:rPr>
      </w:pPr>
    </w:p>
    <w:p w14:paraId="7058D363">
      <w:pPr>
        <w:pStyle w:val="15"/>
        <w:tabs>
          <w:tab w:val="center" w:pos="4201"/>
          <w:tab w:val="right" w:leader="dot" w:pos="9298"/>
        </w:tabs>
        <w:ind w:firstLine="420"/>
        <w:rPr>
          <w:rFonts w:ascii="Times New Roman"/>
          <w:color w:val="000000"/>
        </w:rPr>
      </w:pPr>
    </w:p>
    <w:p w14:paraId="1AB26E7C">
      <w:pPr>
        <w:pStyle w:val="15"/>
        <w:tabs>
          <w:tab w:val="center" w:pos="4201"/>
          <w:tab w:val="right" w:leader="dot" w:pos="9298"/>
        </w:tabs>
        <w:ind w:firstLine="420"/>
        <w:rPr>
          <w:rFonts w:ascii="Times New Roman"/>
          <w:color w:val="000000"/>
        </w:rPr>
      </w:pPr>
    </w:p>
    <w:p w14:paraId="4A4545B7">
      <w:pPr>
        <w:pStyle w:val="15"/>
        <w:tabs>
          <w:tab w:val="center" w:pos="4201"/>
          <w:tab w:val="right" w:leader="dot" w:pos="9298"/>
        </w:tabs>
        <w:ind w:firstLine="420"/>
        <w:rPr>
          <w:rFonts w:ascii="Times New Roman"/>
          <w:color w:val="000000"/>
        </w:rPr>
      </w:pPr>
    </w:p>
    <w:p w14:paraId="5E905FEF">
      <w:pPr>
        <w:pStyle w:val="15"/>
        <w:tabs>
          <w:tab w:val="center" w:pos="4201"/>
          <w:tab w:val="right" w:leader="dot" w:pos="9298"/>
        </w:tabs>
        <w:ind w:firstLine="420"/>
        <w:rPr>
          <w:rFonts w:ascii="Times New Roman"/>
          <w:color w:val="000000"/>
        </w:rPr>
      </w:pPr>
    </w:p>
    <w:p w14:paraId="63BD4796">
      <w:pPr>
        <w:pStyle w:val="15"/>
        <w:tabs>
          <w:tab w:val="center" w:pos="4201"/>
          <w:tab w:val="right" w:leader="dot" w:pos="9298"/>
        </w:tabs>
        <w:ind w:firstLine="420"/>
        <w:rPr>
          <w:rFonts w:ascii="Times New Roman"/>
          <w:color w:val="000000"/>
        </w:rPr>
      </w:pPr>
    </w:p>
    <w:p w14:paraId="6F7037AE">
      <w:pPr>
        <w:pStyle w:val="15"/>
        <w:tabs>
          <w:tab w:val="center" w:pos="4201"/>
          <w:tab w:val="right" w:leader="dot" w:pos="9298"/>
        </w:tabs>
        <w:ind w:firstLine="420"/>
        <w:rPr>
          <w:rFonts w:ascii="Times New Roman"/>
          <w:color w:val="000000"/>
        </w:rPr>
      </w:pPr>
    </w:p>
    <w:p w14:paraId="3F150785">
      <w:pPr>
        <w:pStyle w:val="15"/>
        <w:tabs>
          <w:tab w:val="center" w:pos="4201"/>
          <w:tab w:val="right" w:leader="dot" w:pos="9298"/>
        </w:tabs>
        <w:ind w:firstLine="420"/>
        <w:rPr>
          <w:rFonts w:ascii="Times New Roman"/>
          <w:color w:val="000000"/>
        </w:rPr>
      </w:pPr>
    </w:p>
    <w:p w14:paraId="24CE5628">
      <w:pPr>
        <w:pStyle w:val="15"/>
        <w:tabs>
          <w:tab w:val="center" w:pos="4201"/>
          <w:tab w:val="right" w:leader="dot" w:pos="9298"/>
        </w:tabs>
        <w:ind w:firstLine="420"/>
        <w:rPr>
          <w:rFonts w:ascii="Times New Roman"/>
          <w:color w:val="000000"/>
        </w:rPr>
      </w:pPr>
    </w:p>
    <w:p w14:paraId="1ACBF208">
      <w:pPr>
        <w:pStyle w:val="15"/>
        <w:tabs>
          <w:tab w:val="center" w:pos="4201"/>
          <w:tab w:val="right" w:leader="dot" w:pos="9298"/>
        </w:tabs>
        <w:ind w:firstLine="420"/>
        <w:rPr>
          <w:rFonts w:ascii="Times New Roman"/>
          <w:color w:val="000000"/>
        </w:rPr>
      </w:pPr>
    </w:p>
    <w:bookmarkEnd w:id="15"/>
    <w:bookmarkEnd w:id="16"/>
    <w:p w14:paraId="511803B3">
      <w:pPr>
        <w:jc w:val="both"/>
        <w:rPr>
          <w:rFonts w:hint="eastAsia" w:ascii="黑体" w:hAnsi="黑体" w:eastAsia="黑体" w:cs="Times New Roman"/>
          <w:kern w:val="0"/>
          <w:szCs w:val="21"/>
        </w:rPr>
      </w:pPr>
    </w:p>
    <w:p w14:paraId="164EB74B">
      <w:pPr>
        <w:jc w:val="center"/>
        <w:rPr>
          <w:rFonts w:ascii="Times New Roman" w:hAnsi="Times New Roman" w:eastAsia="黑体" w:cs="Times New Roman"/>
          <w:kern w:val="0"/>
          <w:szCs w:val="21"/>
        </w:rPr>
      </w:pPr>
      <w:r>
        <w:rPr>
          <w:rFonts w:ascii="Times New Roman" w:hAnsi="Times New Roman" w:eastAsia="黑体" w:cs="Times New Roman"/>
          <w:kern w:val="0"/>
          <w:szCs w:val="21"/>
        </w:rPr>
        <w:t>附 录 A</w:t>
      </w:r>
    </w:p>
    <w:p w14:paraId="08ECDCD2">
      <w:pPr>
        <w:jc w:val="center"/>
        <w:rPr>
          <w:rFonts w:ascii="Times New Roman" w:hAnsi="Times New Roman" w:eastAsia="黑体" w:cs="Times New Roman"/>
          <w:kern w:val="0"/>
          <w:szCs w:val="21"/>
        </w:rPr>
      </w:pPr>
      <w:r>
        <w:rPr>
          <w:rFonts w:ascii="Times New Roman" w:hAnsi="Times New Roman" w:eastAsia="黑体" w:cs="Times New Roman"/>
          <w:kern w:val="0"/>
          <w:szCs w:val="21"/>
        </w:rPr>
        <w:t>（</w:t>
      </w:r>
      <w:bookmarkStart w:id="21" w:name="_Hlk92788726"/>
      <w:r>
        <w:rPr>
          <w:rFonts w:ascii="Times New Roman" w:hAnsi="Times New Roman" w:eastAsia="黑体" w:cs="Times New Roman"/>
          <w:kern w:val="0"/>
          <w:szCs w:val="21"/>
        </w:rPr>
        <w:t>资料性</w:t>
      </w:r>
      <w:bookmarkEnd w:id="21"/>
      <w:r>
        <w:rPr>
          <w:rFonts w:ascii="Times New Roman" w:hAnsi="Times New Roman" w:eastAsia="黑体" w:cs="Times New Roman"/>
          <w:kern w:val="0"/>
          <w:szCs w:val="21"/>
        </w:rPr>
        <w:t>）</w:t>
      </w:r>
    </w:p>
    <w:p w14:paraId="6DADE891">
      <w:pPr>
        <w:jc w:val="center"/>
        <w:rPr>
          <w:rFonts w:ascii="Times New Roman" w:hAnsi="Times New Roman" w:eastAsia="黑体" w:cs="Times New Roman"/>
          <w:kern w:val="0"/>
          <w:szCs w:val="21"/>
        </w:rPr>
      </w:pPr>
      <w:r>
        <w:rPr>
          <w:rFonts w:ascii="Times New Roman" w:hAnsi="Times New Roman" w:eastAsia="黑体" w:cs="Times New Roman"/>
          <w:kern w:val="0"/>
          <w:szCs w:val="21"/>
        </w:rPr>
        <w:t>与本文相关的证候术语</w:t>
      </w:r>
    </w:p>
    <w:p w14:paraId="77F1634A">
      <w:pPr>
        <w:pStyle w:val="15"/>
        <w:spacing w:line="360" w:lineRule="exact"/>
        <w:ind w:firstLine="0" w:firstLineChars="0"/>
        <w:rPr>
          <w:rFonts w:ascii="Times New Roman" w:eastAsia="黑体"/>
        </w:rPr>
      </w:pPr>
    </w:p>
    <w:p w14:paraId="0FFCFCB3">
      <w:pPr>
        <w:pStyle w:val="15"/>
        <w:spacing w:line="360" w:lineRule="exact"/>
        <w:ind w:firstLine="0" w:firstLineChars="0"/>
        <w:rPr>
          <w:rFonts w:ascii="Times New Roman" w:eastAsia="黑体"/>
        </w:rPr>
      </w:pPr>
      <w:r>
        <w:rPr>
          <w:rFonts w:ascii="Times New Roman" w:eastAsia="黑体"/>
        </w:rPr>
        <w:t>A.1</w:t>
      </w:r>
    </w:p>
    <w:p w14:paraId="327F242B">
      <w:pPr>
        <w:pStyle w:val="15"/>
        <w:spacing w:line="360" w:lineRule="exact"/>
        <w:ind w:firstLine="420"/>
        <w:rPr>
          <w:rFonts w:ascii="Times New Roman" w:eastAsia="黑体"/>
        </w:rPr>
      </w:pPr>
      <w:r>
        <w:rPr>
          <w:rFonts w:ascii="Times New Roman" w:eastAsia="黑体"/>
        </w:rPr>
        <w:t>证 syndrome; pattern</w:t>
      </w:r>
    </w:p>
    <w:p w14:paraId="6E9A79A0">
      <w:pPr>
        <w:pStyle w:val="15"/>
        <w:spacing w:line="360" w:lineRule="exact"/>
        <w:ind w:firstLine="420"/>
        <w:rPr>
          <w:rFonts w:ascii="Times New Roman"/>
        </w:rPr>
      </w:pPr>
      <w:r>
        <w:rPr>
          <w:rFonts w:ascii="Times New Roman"/>
        </w:rPr>
        <w:t>对疾病过程中一定阶段的病位、病因、病性、病势及机体抗病能力的强弱等本质的概括。</w:t>
      </w:r>
    </w:p>
    <w:p w14:paraId="45850B51">
      <w:pPr>
        <w:pStyle w:val="15"/>
        <w:spacing w:line="360" w:lineRule="exact"/>
        <w:ind w:firstLine="420"/>
        <w:rPr>
          <w:rFonts w:ascii="Times New Roman" w:eastAsia="黑体"/>
          <w:szCs w:val="21"/>
        </w:rPr>
      </w:pPr>
      <w:r>
        <w:rPr>
          <w:rFonts w:ascii="Times New Roman"/>
        </w:rPr>
        <w:t>[《中医药学名词（2004）》，术语及定义04.547]</w:t>
      </w:r>
    </w:p>
    <w:p w14:paraId="13486351">
      <w:pPr>
        <w:pStyle w:val="15"/>
        <w:spacing w:line="360" w:lineRule="exact"/>
        <w:ind w:firstLine="0" w:firstLineChars="0"/>
        <w:rPr>
          <w:rFonts w:ascii="Times New Roman" w:eastAsia="黑体"/>
        </w:rPr>
      </w:pPr>
      <w:r>
        <w:rPr>
          <w:rFonts w:ascii="Times New Roman" w:eastAsia="黑体"/>
        </w:rPr>
        <w:t>A.2</w:t>
      </w:r>
    </w:p>
    <w:p w14:paraId="615EAED4">
      <w:pPr>
        <w:pStyle w:val="15"/>
        <w:spacing w:line="360" w:lineRule="exact"/>
        <w:ind w:firstLine="420"/>
        <w:rPr>
          <w:rFonts w:ascii="Times New Roman" w:eastAsia="黑体"/>
        </w:rPr>
      </w:pPr>
      <w:r>
        <w:rPr>
          <w:rFonts w:ascii="Times New Roman" w:eastAsia="黑体"/>
        </w:rPr>
        <w:t xml:space="preserve">证候相兼 concurrent syndromes </w:t>
      </w:r>
    </w:p>
    <w:p w14:paraId="078AECED">
      <w:pPr>
        <w:pStyle w:val="15"/>
        <w:spacing w:line="360" w:lineRule="exact"/>
        <w:ind w:firstLine="420"/>
        <w:rPr>
          <w:rFonts w:ascii="Times New Roman"/>
        </w:rPr>
      </w:pPr>
      <w:r>
        <w:rPr>
          <w:rFonts w:ascii="Times New Roman"/>
        </w:rPr>
        <w:t>疾病某阶段中各种不同证候（但不包括性质相反的证候）同时存在的情况。</w:t>
      </w:r>
    </w:p>
    <w:p w14:paraId="73C65845">
      <w:pPr>
        <w:pStyle w:val="15"/>
        <w:spacing w:line="360" w:lineRule="exact"/>
        <w:ind w:firstLine="420"/>
        <w:rPr>
          <w:rFonts w:ascii="Times New Roman"/>
        </w:rPr>
      </w:pPr>
      <w:r>
        <w:rPr>
          <w:rFonts w:ascii="Times New Roman"/>
        </w:rPr>
        <w:t>[《中医药学名词（2004）》，术语及定义04.549]</w:t>
      </w:r>
    </w:p>
    <w:p w14:paraId="10A068E1">
      <w:pPr>
        <w:widowControl/>
        <w:spacing w:line="360" w:lineRule="exact"/>
        <w:jc w:val="left"/>
        <w:rPr>
          <w:rFonts w:ascii="Times New Roman" w:hAnsi="Times New Roman" w:eastAsia="黑体" w:cs="Times New Roman"/>
          <w:kern w:val="0"/>
          <w:szCs w:val="21"/>
        </w:rPr>
      </w:pPr>
    </w:p>
    <w:p w14:paraId="2AC81015">
      <w:pPr>
        <w:jc w:val="center"/>
        <w:rPr>
          <w:rFonts w:ascii="Times New Roman" w:hAnsi="Times New Roman" w:eastAsia="黑体" w:cs="Times New Roman"/>
          <w:kern w:val="0"/>
          <w:szCs w:val="21"/>
        </w:rPr>
      </w:pPr>
      <w:bookmarkStart w:id="22" w:name="_Toc510534552"/>
      <w:bookmarkStart w:id="23" w:name="_Toc509933873"/>
      <w:r>
        <w:rPr>
          <w:rFonts w:hint="eastAsia" w:hAnsi="黑体"/>
          <w:sz w:val="21"/>
          <w:szCs w:val="21"/>
        </w:rPr>
        <w:br w:type="page"/>
      </w:r>
      <w:r>
        <w:rPr>
          <w:rFonts w:ascii="Times New Roman" w:hAnsi="Times New Roman" w:eastAsia="黑体" w:cs="Times New Roman"/>
          <w:kern w:val="0"/>
          <w:szCs w:val="21"/>
        </w:rPr>
        <w:t>附 录 B</w:t>
      </w:r>
    </w:p>
    <w:p w14:paraId="4B22C547">
      <w:pPr>
        <w:jc w:val="center"/>
        <w:rPr>
          <w:rFonts w:ascii="Times New Roman" w:hAnsi="Times New Roman" w:eastAsia="黑体" w:cs="Times New Roman"/>
          <w:kern w:val="0"/>
          <w:szCs w:val="21"/>
        </w:rPr>
      </w:pPr>
      <w:r>
        <w:rPr>
          <w:rFonts w:ascii="Times New Roman" w:hAnsi="Times New Roman" w:eastAsia="黑体" w:cs="Times New Roman"/>
          <w:kern w:val="0"/>
          <w:szCs w:val="21"/>
        </w:rPr>
        <w:t>（资料性）</w:t>
      </w:r>
    </w:p>
    <w:p w14:paraId="6255BF97">
      <w:pPr>
        <w:jc w:val="center"/>
        <w:rPr>
          <w:rFonts w:ascii="Times New Roman" w:hAnsi="Times New Roman" w:eastAsia="黑体" w:cs="Times New Roman"/>
          <w:kern w:val="0"/>
          <w:szCs w:val="21"/>
        </w:rPr>
      </w:pPr>
      <w:r>
        <w:rPr>
          <w:rFonts w:ascii="Times New Roman" w:hAnsi="Times New Roman" w:eastAsia="黑体" w:cs="Times New Roman"/>
          <w:kern w:val="0"/>
          <w:szCs w:val="21"/>
        </w:rPr>
        <w:t>既往不稳定性心绞痛中西医结合诊疗专家共识或指南</w:t>
      </w:r>
    </w:p>
    <w:p w14:paraId="74FA5DA9">
      <w:pPr>
        <w:pStyle w:val="15"/>
        <w:spacing w:line="360" w:lineRule="exact"/>
        <w:ind w:firstLine="0" w:firstLineChars="0"/>
        <w:rPr>
          <w:rFonts w:ascii="Times New Roman" w:eastAsia="黑体"/>
        </w:rPr>
      </w:pPr>
    </w:p>
    <w:p w14:paraId="18E2A90E">
      <w:pPr>
        <w:pStyle w:val="15"/>
        <w:spacing w:line="360" w:lineRule="exact"/>
        <w:ind w:firstLine="0" w:firstLineChars="0"/>
        <w:rPr>
          <w:rFonts w:ascii="Times New Roman" w:eastAsia="黑体"/>
        </w:rPr>
      </w:pPr>
      <w:r>
        <w:rPr>
          <w:rFonts w:ascii="Times New Roman" w:eastAsia="黑体"/>
        </w:rPr>
        <w:t>B.1 既往不稳定性心绞痛中西医结合诊疗专家共识见表2</w:t>
      </w:r>
    </w:p>
    <w:p w14:paraId="115F7964">
      <w:pPr>
        <w:pStyle w:val="15"/>
        <w:spacing w:line="360" w:lineRule="exact"/>
        <w:ind w:firstLine="0" w:firstLineChars="0"/>
        <w:rPr>
          <w:rFonts w:ascii="Times New Roman" w:eastAsia="黑体"/>
        </w:rPr>
      </w:pPr>
    </w:p>
    <w:p w14:paraId="7357613C">
      <w:pPr>
        <w:pStyle w:val="15"/>
        <w:spacing w:line="360" w:lineRule="exact"/>
        <w:ind w:firstLine="0" w:firstLineChars="0"/>
        <w:jc w:val="center"/>
        <w:rPr>
          <w:rFonts w:ascii="Times New Roman"/>
        </w:rPr>
      </w:pPr>
      <w:r>
        <w:rPr>
          <w:rFonts w:ascii="Times New Roman"/>
        </w:rPr>
        <w:t>表2 既往不稳定性心绞痛中西医结合诊疗专家共识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998"/>
        <w:gridCol w:w="3367"/>
      </w:tblGrid>
      <w:tr w14:paraId="688D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Borders>
              <w:top w:val="single" w:color="auto" w:sz="12" w:space="0"/>
              <w:left w:val="single" w:color="auto" w:sz="12" w:space="0"/>
            </w:tcBorders>
          </w:tcPr>
          <w:p w14:paraId="06B0EE81">
            <w:pPr>
              <w:pStyle w:val="15"/>
              <w:keepNext w:val="0"/>
              <w:keepLines w:val="0"/>
              <w:widowControl/>
              <w:suppressLineNumbers w:val="0"/>
              <w:spacing w:before="0" w:beforeAutospacing="0" w:after="0" w:afterAutospacing="0" w:line="360" w:lineRule="exact"/>
              <w:ind w:left="0" w:right="0" w:firstLine="0" w:firstLineChars="0"/>
              <w:jc w:val="center"/>
              <w:rPr>
                <w:rFonts w:hint="default" w:ascii="Times New Roman"/>
                <w:szCs w:val="20"/>
              </w:rPr>
            </w:pPr>
            <w:r>
              <w:rPr>
                <w:rFonts w:hint="default" w:ascii="Times New Roman"/>
                <w:szCs w:val="20"/>
              </w:rPr>
              <w:t>时间</w:t>
            </w:r>
          </w:p>
        </w:tc>
        <w:tc>
          <w:tcPr>
            <w:tcW w:w="3998" w:type="dxa"/>
            <w:tcBorders>
              <w:top w:val="single" w:color="auto" w:sz="12" w:space="0"/>
            </w:tcBorders>
          </w:tcPr>
          <w:p w14:paraId="07F28AE6">
            <w:pPr>
              <w:pStyle w:val="15"/>
              <w:keepNext w:val="0"/>
              <w:keepLines w:val="0"/>
              <w:widowControl/>
              <w:suppressLineNumbers w:val="0"/>
              <w:spacing w:before="0" w:beforeAutospacing="0" w:after="0" w:afterAutospacing="0" w:line="360" w:lineRule="exact"/>
              <w:ind w:left="0" w:right="0" w:firstLine="0" w:firstLineChars="0"/>
              <w:jc w:val="center"/>
              <w:rPr>
                <w:rFonts w:hint="default" w:ascii="Times New Roman"/>
                <w:szCs w:val="20"/>
              </w:rPr>
            </w:pPr>
            <w:r>
              <w:rPr>
                <w:rFonts w:hint="default" w:ascii="Times New Roman"/>
                <w:szCs w:val="20"/>
              </w:rPr>
              <w:t>来源</w:t>
            </w:r>
          </w:p>
        </w:tc>
        <w:tc>
          <w:tcPr>
            <w:tcW w:w="3367" w:type="dxa"/>
            <w:tcBorders>
              <w:top w:val="single" w:color="auto" w:sz="12" w:space="0"/>
              <w:right w:val="single" w:color="auto" w:sz="12" w:space="0"/>
            </w:tcBorders>
          </w:tcPr>
          <w:p w14:paraId="482C5205">
            <w:pPr>
              <w:pStyle w:val="15"/>
              <w:keepNext w:val="0"/>
              <w:keepLines w:val="0"/>
              <w:widowControl/>
              <w:suppressLineNumbers w:val="0"/>
              <w:spacing w:before="0" w:beforeAutospacing="0" w:after="0" w:afterAutospacing="0" w:line="360" w:lineRule="exact"/>
              <w:ind w:left="0" w:right="0" w:firstLine="0" w:firstLineChars="0"/>
              <w:jc w:val="center"/>
              <w:rPr>
                <w:rFonts w:hint="default" w:ascii="Times New Roman"/>
                <w:szCs w:val="20"/>
              </w:rPr>
            </w:pPr>
            <w:r>
              <w:rPr>
                <w:rFonts w:hint="default" w:ascii="Times New Roman"/>
                <w:szCs w:val="20"/>
              </w:rPr>
              <w:t>内容</w:t>
            </w:r>
          </w:p>
        </w:tc>
      </w:tr>
      <w:tr w14:paraId="4256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Borders>
              <w:left w:val="single" w:color="auto" w:sz="12" w:space="0"/>
              <w:bottom w:val="single" w:color="auto" w:sz="12" w:space="0"/>
            </w:tcBorders>
          </w:tcPr>
          <w:p w14:paraId="7976FEB4">
            <w:pPr>
              <w:pStyle w:val="15"/>
              <w:keepNext w:val="0"/>
              <w:keepLines w:val="0"/>
              <w:widowControl/>
              <w:suppressLineNumbers w:val="0"/>
              <w:spacing w:before="0" w:beforeAutospacing="0" w:after="0" w:afterAutospacing="0" w:line="320" w:lineRule="exact"/>
              <w:ind w:left="0" w:right="0" w:firstLine="0" w:firstLineChars="0"/>
              <w:jc w:val="center"/>
              <w:rPr>
                <w:rFonts w:hint="default" w:ascii="Times New Roman"/>
                <w:szCs w:val="20"/>
              </w:rPr>
            </w:pPr>
          </w:p>
          <w:p w14:paraId="03EA7329">
            <w:pPr>
              <w:pStyle w:val="15"/>
              <w:keepNext w:val="0"/>
              <w:keepLines w:val="0"/>
              <w:widowControl/>
              <w:suppressLineNumbers w:val="0"/>
              <w:spacing w:before="0" w:beforeAutospacing="0" w:after="0" w:afterAutospacing="0" w:line="320" w:lineRule="exact"/>
              <w:ind w:left="0" w:right="0" w:firstLine="0" w:firstLineChars="0"/>
              <w:jc w:val="center"/>
              <w:rPr>
                <w:rFonts w:hint="default" w:ascii="Times New Roman"/>
                <w:szCs w:val="20"/>
              </w:rPr>
            </w:pPr>
            <w:r>
              <w:rPr>
                <w:rFonts w:hint="default" w:ascii="Times New Roman"/>
                <w:szCs w:val="20"/>
              </w:rPr>
              <w:t>2022年</w:t>
            </w:r>
          </w:p>
        </w:tc>
        <w:tc>
          <w:tcPr>
            <w:tcW w:w="3998" w:type="dxa"/>
            <w:tcBorders>
              <w:bottom w:val="single" w:color="auto" w:sz="12" w:space="0"/>
            </w:tcBorders>
          </w:tcPr>
          <w:p w14:paraId="15A07505">
            <w:pPr>
              <w:pStyle w:val="15"/>
              <w:keepNext w:val="0"/>
              <w:keepLines w:val="0"/>
              <w:widowControl/>
              <w:suppressLineNumbers w:val="0"/>
              <w:spacing w:before="0" w:beforeAutospacing="0" w:after="0" w:afterAutospacing="0" w:line="360" w:lineRule="exact"/>
              <w:ind w:left="0" w:right="0" w:firstLine="0" w:firstLineChars="0"/>
              <w:rPr>
                <w:rFonts w:hint="default" w:ascii="Times New Roman"/>
                <w:szCs w:val="20"/>
              </w:rPr>
            </w:pPr>
            <w:r>
              <w:rPr>
                <w:rFonts w:hint="default" w:ascii="Times New Roman"/>
                <w:szCs w:val="20"/>
              </w:rPr>
              <w:t>张瑞芬,苏和,黄新生,等.不稳定型心绞痛中医诊疗专家共识[J].中医杂志,2022,63 (07):695-700.</w:t>
            </w:r>
          </w:p>
        </w:tc>
        <w:tc>
          <w:tcPr>
            <w:tcW w:w="3367" w:type="dxa"/>
            <w:tcBorders>
              <w:bottom w:val="single" w:color="auto" w:sz="12" w:space="0"/>
              <w:right w:val="single" w:color="auto" w:sz="12" w:space="0"/>
            </w:tcBorders>
          </w:tcPr>
          <w:p w14:paraId="429057D1">
            <w:pPr>
              <w:pStyle w:val="15"/>
              <w:keepNext w:val="0"/>
              <w:keepLines w:val="0"/>
              <w:widowControl/>
              <w:suppressLineNumbers w:val="0"/>
              <w:spacing w:before="0" w:beforeAutospacing="0" w:after="0" w:afterAutospacing="0" w:line="360" w:lineRule="exact"/>
              <w:ind w:left="0" w:right="0" w:firstLine="0" w:firstLineChars="0"/>
              <w:rPr>
                <w:rFonts w:hint="default" w:ascii="Times New Roman"/>
                <w:szCs w:val="20"/>
              </w:rPr>
            </w:pPr>
            <w:r>
              <w:rPr>
                <w:rFonts w:hint="default" w:ascii="Times New Roman"/>
                <w:szCs w:val="20"/>
              </w:rPr>
              <w:t>证型：心血瘀阻证、血瘀痰凝证、气阴两虚证、心肾阳虚证、气虚血瘀证</w:t>
            </w:r>
          </w:p>
        </w:tc>
      </w:tr>
    </w:tbl>
    <w:p w14:paraId="7D5ED8C3">
      <w:pPr>
        <w:pStyle w:val="15"/>
        <w:spacing w:line="360" w:lineRule="exact"/>
        <w:ind w:firstLine="0" w:firstLineChars="0"/>
        <w:rPr>
          <w:rFonts w:ascii="Times New Roman" w:eastAsia="黑体"/>
        </w:rPr>
      </w:pPr>
    </w:p>
    <w:p w14:paraId="1CF00638">
      <w:pPr>
        <w:spacing w:line="360" w:lineRule="exact"/>
        <w:rPr>
          <w:rFonts w:ascii="宋体" w:hAnsi="宋体"/>
          <w:szCs w:val="21"/>
        </w:rPr>
        <w:sectPr>
          <w:footerReference r:id="rId3" w:type="default"/>
          <w:pgSz w:w="11906" w:h="16838"/>
          <w:pgMar w:top="1440" w:right="1797" w:bottom="1440" w:left="1797" w:header="851" w:footer="992" w:gutter="0"/>
          <w:pgNumType w:start="1"/>
          <w:cols w:space="425" w:num="1"/>
          <w:docGrid w:linePitch="312" w:charSpace="0"/>
        </w:sectPr>
      </w:pPr>
    </w:p>
    <w:p w14:paraId="6415CED6">
      <w:pPr>
        <w:rPr>
          <w:rFonts w:hint="eastAsia" w:hAnsi="黑体"/>
          <w:sz w:val="21"/>
          <w:szCs w:val="21"/>
        </w:rPr>
      </w:pPr>
    </w:p>
    <w:p w14:paraId="178210E7">
      <w:pPr>
        <w:pStyle w:val="22"/>
        <w:rPr>
          <w:rFonts w:hint="eastAsia" w:hAnsi="黑体"/>
          <w:sz w:val="21"/>
          <w:szCs w:val="21"/>
        </w:rPr>
      </w:pPr>
      <w:r>
        <w:rPr>
          <w:rFonts w:hint="eastAsia" w:hAnsi="黑体"/>
          <w:sz w:val="21"/>
          <w:szCs w:val="21"/>
        </w:rPr>
        <w:t>参 考 文 献</w:t>
      </w:r>
      <w:bookmarkEnd w:id="22"/>
      <w:bookmarkEnd w:id="23"/>
    </w:p>
    <w:p w14:paraId="786D36E6">
      <w:pPr>
        <w:pStyle w:val="34"/>
        <w:spacing w:line="360" w:lineRule="auto"/>
        <w:rPr>
          <w:rFonts w:hint="default" w:ascii="Times New Roman" w:hAnsi="Times New Roman" w:eastAsia="宋体" w:cs="Times New Roman"/>
          <w:kern w:val="0"/>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ADDIN ZOTERO_BIBL {"uncited":[],"omitted":[],"custom":[]} CSL_BIBLIOGRAPHY </w:instrText>
      </w:r>
      <w:r>
        <w:rPr>
          <w:rFonts w:hint="default" w:ascii="Times New Roman" w:hAnsi="Times New Roman" w:eastAsia="宋体" w:cs="Times New Roman"/>
        </w:rPr>
        <w:fldChar w:fldCharType="separate"/>
      </w:r>
      <w:r>
        <w:rPr>
          <w:rFonts w:hint="default" w:ascii="Times New Roman" w:hAnsi="Times New Roman" w:eastAsia="宋体" w:cs="Times New Roman"/>
          <w:kern w:val="0"/>
        </w:rPr>
        <w:t>[1]</w:t>
      </w:r>
      <w:r>
        <w:rPr>
          <w:rFonts w:hint="default" w:ascii="Times New Roman" w:hAnsi="Times New Roman" w:eastAsia="宋体" w:cs="Times New Roman"/>
          <w:kern w:val="0"/>
        </w:rPr>
        <w:tab/>
      </w:r>
      <w:r>
        <w:rPr>
          <w:rFonts w:hint="default" w:ascii="Times New Roman" w:hAnsi="Times New Roman" w:eastAsia="宋体" w:cs="Times New Roman"/>
          <w:kern w:val="0"/>
        </w:rPr>
        <w:t>陈可冀, 宋军. 病证结合的临床研究是中西医结合研究的重要模式[J]. 世界科学技术, 2006(2): 1-5.</w:t>
      </w:r>
    </w:p>
    <w:p w14:paraId="10E0037A">
      <w:pPr>
        <w:pStyle w:val="34"/>
        <w:spacing w:line="360" w:lineRule="auto"/>
        <w:rPr>
          <w:rFonts w:hint="default" w:ascii="Times New Roman" w:hAnsi="Times New Roman" w:eastAsia="宋体" w:cs="Times New Roman"/>
          <w:kern w:val="0"/>
        </w:rPr>
      </w:pPr>
      <w:r>
        <w:rPr>
          <w:rFonts w:hint="default" w:ascii="Times New Roman" w:hAnsi="Times New Roman" w:eastAsia="宋体" w:cs="Times New Roman"/>
          <w:kern w:val="0"/>
        </w:rPr>
        <w:t>[2]</w:t>
      </w:r>
      <w:r>
        <w:rPr>
          <w:rFonts w:hint="default" w:ascii="Times New Roman" w:hAnsi="Times New Roman" w:eastAsia="宋体" w:cs="Times New Roman"/>
          <w:kern w:val="0"/>
        </w:rPr>
        <w:tab/>
      </w:r>
      <w:r>
        <w:rPr>
          <w:rFonts w:hint="default" w:ascii="Times New Roman" w:hAnsi="Times New Roman" w:eastAsia="宋体" w:cs="Times New Roman"/>
          <w:kern w:val="0"/>
        </w:rPr>
        <w:t xml:space="preserve">BERGMARK B A, MATHENGE N, MERLINI P A, </w:t>
      </w:r>
      <w:r>
        <w:rPr>
          <w:rFonts w:hint="eastAsia" w:ascii="Times New Roman" w:hAnsi="Times New Roman" w:eastAsia="宋体" w:cs="Times New Roman"/>
          <w:kern w:val="0"/>
          <w:lang w:val="en-US" w:eastAsia="zh-CN"/>
        </w:rPr>
        <w:t>et al</w:t>
      </w:r>
      <w:r>
        <w:rPr>
          <w:rFonts w:hint="default" w:ascii="Times New Roman" w:hAnsi="Times New Roman" w:eastAsia="宋体" w:cs="Times New Roman"/>
          <w:kern w:val="0"/>
        </w:rPr>
        <w:t>. Acute coronary syndromes[J]. Lancet (London, England), 2022, 399(10332): 1347-1358.</w:t>
      </w:r>
    </w:p>
    <w:p w14:paraId="7CF224C7">
      <w:pPr>
        <w:pStyle w:val="34"/>
        <w:spacing w:line="360" w:lineRule="auto"/>
        <w:rPr>
          <w:rFonts w:hint="default" w:ascii="Times New Roman" w:hAnsi="Times New Roman" w:eastAsia="宋体" w:cs="Times New Roman"/>
          <w:kern w:val="0"/>
        </w:rPr>
      </w:pPr>
      <w:r>
        <w:rPr>
          <w:rFonts w:hint="default" w:ascii="Times New Roman" w:hAnsi="Times New Roman" w:eastAsia="宋体" w:cs="Times New Roman"/>
          <w:kern w:val="0"/>
        </w:rPr>
        <w:t>[3]</w:t>
      </w:r>
      <w:r>
        <w:rPr>
          <w:rFonts w:hint="default" w:ascii="Times New Roman" w:hAnsi="Times New Roman" w:eastAsia="宋体" w:cs="Times New Roman"/>
          <w:kern w:val="0"/>
        </w:rPr>
        <w:tab/>
      </w:r>
      <w:r>
        <w:rPr>
          <w:rFonts w:hint="default" w:ascii="Times New Roman" w:hAnsi="Times New Roman" w:eastAsia="宋体" w:cs="Times New Roman"/>
          <w:kern w:val="0"/>
        </w:rPr>
        <w:t>刘明波, 何新叶, 杨晓红, 等. 《中国心血管健康与疾病报告2023》要点解读[J]. 中国心血管杂志, 2024, 29(4): 305-324.</w:t>
      </w:r>
    </w:p>
    <w:p w14:paraId="7079CEBE">
      <w:pPr>
        <w:pStyle w:val="34"/>
        <w:spacing w:line="360" w:lineRule="auto"/>
        <w:rPr>
          <w:rFonts w:hint="default" w:ascii="Times New Roman" w:hAnsi="Times New Roman" w:eastAsia="宋体" w:cs="Times New Roman"/>
          <w:kern w:val="0"/>
        </w:rPr>
      </w:pPr>
      <w:r>
        <w:rPr>
          <w:rFonts w:hint="default" w:ascii="Times New Roman" w:hAnsi="Times New Roman" w:eastAsia="宋体" w:cs="Times New Roman"/>
          <w:kern w:val="0"/>
        </w:rPr>
        <w:t>[4]</w:t>
      </w:r>
      <w:r>
        <w:rPr>
          <w:rFonts w:hint="default" w:ascii="Times New Roman" w:hAnsi="Times New Roman" w:eastAsia="宋体" w:cs="Times New Roman"/>
          <w:kern w:val="0"/>
        </w:rPr>
        <w:tab/>
      </w:r>
      <w:r>
        <w:rPr>
          <w:rFonts w:hint="default" w:ascii="Times New Roman" w:hAnsi="Times New Roman" w:eastAsia="宋体" w:cs="Times New Roman"/>
          <w:kern w:val="0"/>
        </w:rPr>
        <w:t>刘龙涛, 陈可冀, 付长庚, 等. 从“因瘀致毒”谈冠心病的病因病机[J]. 中国中西医结合杂志, 2015, 35(11): 1378-1380.</w:t>
      </w:r>
    </w:p>
    <w:p w14:paraId="0BFD30F5">
      <w:pPr>
        <w:pStyle w:val="34"/>
        <w:spacing w:line="360" w:lineRule="auto"/>
        <w:rPr>
          <w:rFonts w:hint="default" w:ascii="Times New Roman" w:hAnsi="Times New Roman" w:eastAsia="宋体" w:cs="Times New Roman"/>
          <w:kern w:val="0"/>
        </w:rPr>
      </w:pPr>
      <w:r>
        <w:rPr>
          <w:rFonts w:hint="default" w:ascii="Times New Roman" w:hAnsi="Times New Roman" w:eastAsia="宋体" w:cs="Times New Roman"/>
          <w:kern w:val="0"/>
        </w:rPr>
        <w:t>[5]</w:t>
      </w:r>
      <w:r>
        <w:rPr>
          <w:rFonts w:hint="default" w:ascii="Times New Roman" w:hAnsi="Times New Roman" w:eastAsia="宋体" w:cs="Times New Roman"/>
          <w:kern w:val="0"/>
        </w:rPr>
        <w:tab/>
      </w:r>
      <w:r>
        <w:rPr>
          <w:rFonts w:hint="default" w:ascii="Times New Roman" w:hAnsi="Times New Roman" w:eastAsia="宋体" w:cs="Times New Roman"/>
          <w:kern w:val="0"/>
        </w:rPr>
        <w:t>张京春. 陈可冀院士治疗冠心病心绞痛学术思想与经验[J]. 中西医结合心脑血管病杂志, 2005(7): 634-636.</w:t>
      </w:r>
    </w:p>
    <w:p w14:paraId="0B4BEA11">
      <w:pPr>
        <w:pStyle w:val="34"/>
        <w:spacing w:line="360" w:lineRule="auto"/>
        <w:rPr>
          <w:rFonts w:hint="default" w:ascii="Times New Roman" w:hAnsi="Times New Roman" w:eastAsia="宋体" w:cs="Times New Roman"/>
          <w:kern w:val="0"/>
        </w:rPr>
      </w:pPr>
      <w:r>
        <w:rPr>
          <w:rFonts w:hint="default" w:ascii="Times New Roman" w:hAnsi="Times New Roman" w:eastAsia="宋体" w:cs="Times New Roman"/>
          <w:kern w:val="0"/>
        </w:rPr>
        <w:t>[6]</w:t>
      </w:r>
      <w:r>
        <w:rPr>
          <w:rFonts w:hint="default" w:ascii="Times New Roman" w:hAnsi="Times New Roman" w:eastAsia="宋体" w:cs="Times New Roman"/>
          <w:kern w:val="0"/>
        </w:rPr>
        <w:tab/>
      </w:r>
      <w:r>
        <w:rPr>
          <w:rFonts w:hint="default" w:ascii="Times New Roman" w:hAnsi="Times New Roman" w:eastAsia="宋体" w:cs="Times New Roman"/>
          <w:kern w:val="0"/>
        </w:rPr>
        <w:t>张晓囡, 吴敏, 刘昕怡, 等. 基于“虚为本，瘀为常，毒为变”的动脉粥样硬化防治思路[J]. 中国医药导报, 2025, 22(27): 115-118.</w:t>
      </w:r>
    </w:p>
    <w:p w14:paraId="113FABF4">
      <w:pPr>
        <w:pStyle w:val="15"/>
        <w:spacing w:line="360"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rPr>
        <w:fldChar w:fldCharType="end"/>
      </w:r>
      <w:r>
        <w:rPr>
          <w:rFonts w:hint="default" w:ascii="Times New Roman" w:hAnsi="Times New Roman" w:eastAsia="宋体" w:cs="Times New Roman"/>
          <w:szCs w:val="21"/>
        </w:rPr>
        <w:t>[</w:t>
      </w:r>
      <w:r>
        <w:rPr>
          <w:rFonts w:hint="eastAsia" w:ascii="Times New Roman" w:cs="Times New Roman"/>
          <w:szCs w:val="21"/>
          <w:lang w:val="en-US" w:eastAsia="zh-CN"/>
        </w:rPr>
        <w:t>7</w:t>
      </w:r>
      <w:r>
        <w:rPr>
          <w:rFonts w:hint="default" w:ascii="Times New Roman" w:hAnsi="Times New Roman" w:eastAsia="宋体" w:cs="Times New Roman"/>
          <w:szCs w:val="21"/>
        </w:rPr>
        <w:t>]刘雪凤,李兰香,樊苗,等.EuroSCOREⅡ评分及Gensini评分与冠心病PCI术后主要不良心血管事件发生的相关性研究[J].中国动脉硬化杂志,2025,33(06):515-522.</w:t>
      </w:r>
    </w:p>
    <w:p w14:paraId="313CA507">
      <w:pPr>
        <w:pStyle w:val="15"/>
        <w:spacing w:line="360"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w:t>
      </w:r>
      <w:r>
        <w:rPr>
          <w:rFonts w:hint="eastAsia" w:ascii="Times New Roman" w:cs="Times New Roman"/>
          <w:szCs w:val="21"/>
          <w:lang w:val="en-US" w:eastAsia="zh-CN"/>
        </w:rPr>
        <w:t>8</w:t>
      </w:r>
      <w:r>
        <w:rPr>
          <w:rFonts w:hint="default" w:ascii="Times New Roman" w:hAnsi="Times New Roman" w:eastAsia="宋体" w:cs="Times New Roman"/>
          <w:szCs w:val="21"/>
        </w:rPr>
        <w:t>] AGARWALA P, SALZMAN S H. Six-minute walk test: Clinical role, technique, coding, and reimbursement[J]. Chest, 2020, 157(3): 603-611.</w:t>
      </w:r>
    </w:p>
    <w:p w14:paraId="7B5F2D23">
      <w:pPr>
        <w:pStyle w:val="15"/>
        <w:spacing w:line="360" w:lineRule="auto"/>
        <w:ind w:left="0" w:leftChars="0" w:firstLine="0" w:firstLineChars="0"/>
        <w:rPr>
          <w:rFonts w:hint="default" w:ascii="Times New Roman" w:hAnsi="Times New Roman" w:eastAsia="宋体" w:cs="Times New Roman"/>
          <w:szCs w:val="21"/>
        </w:rPr>
      </w:pPr>
    </w:p>
    <w:p w14:paraId="7C88D65C">
      <w:pPr>
        <w:pStyle w:val="15"/>
        <w:tabs>
          <w:tab w:val="center" w:pos="4201"/>
          <w:tab w:val="right" w:leader="dot" w:pos="9298"/>
        </w:tabs>
        <w:ind w:firstLine="0" w:firstLineChars="0"/>
        <w:rPr>
          <w:rFonts w:hint="eastAsia"/>
        </w:rPr>
      </w:pPr>
    </w:p>
    <w:p w14:paraId="2B4175A4"/>
    <w:p w14:paraId="094AEB59">
      <w:pPr>
        <w:jc w:val="left"/>
        <w:rPr>
          <w:rFonts w:hint="eastAsia" w:ascii="仿宋" w:hAnsi="仿宋" w:eastAsia="仿宋"/>
          <w:sz w:val="30"/>
          <w:szCs w:val="30"/>
        </w:rPr>
      </w:pPr>
    </w:p>
    <w:sectPr>
      <w:headerReference r:id="rId4" w:type="default"/>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FZXiaoBiaoSong-B05S">
    <w:altName w:val="宋体"/>
    <w:panose1 w:val="00000000000000000000"/>
    <w:charset w:val="86"/>
    <w:family w:val="swiss"/>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华文中宋">
    <w:altName w:val="宋体"/>
    <w:panose1 w:val="02010600040101010101"/>
    <w:charset w:val="86"/>
    <w:family w:val="auto"/>
    <w:pitch w:val="default"/>
    <w:sig w:usb0="00000000" w:usb1="00000000" w:usb2="00000000" w:usb3="00000000" w:csb0="0004009F" w:csb1="DFD7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07C8B">
    <w:pPr>
      <w:pStyle w:val="4"/>
      <w:jc w:val="right"/>
    </w:pPr>
    <w:r>
      <w:fldChar w:fldCharType="begin"/>
    </w:r>
    <w:r>
      <w:instrText xml:space="preserve">PAGE   \* MERGEFORMAT</w:instrText>
    </w:r>
    <w:r>
      <w:fldChar w:fldCharType="separate"/>
    </w:r>
    <w:r>
      <w:rPr>
        <w:lang w:val="zh-CN"/>
      </w:rPr>
      <w:t>8</w:t>
    </w:r>
    <w:r>
      <w:fldChar w:fldCharType="end"/>
    </w:r>
  </w:p>
  <w:p w14:paraId="3BB73F03">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82760">
    <w:pPr>
      <w:pStyle w:val="5"/>
      <w:tabs>
        <w:tab w:val="left" w:pos="11270"/>
      </w:tabs>
      <w:wordWrap w:val="0"/>
      <w:jc w:val="both"/>
      <w:rPr>
        <w:rFonts w:hint="eastAsia" w:ascii="黑体" w:hAnsi="黑体" w:eastAsia="黑体"/>
        <w:sz w:val="21"/>
        <w:szCs w:val="21"/>
      </w:rPr>
    </w:pPr>
    <w:r>
      <w:rPr>
        <w:rFonts w:ascii="黑体" w:hAnsi="黑体" w:eastAsia="黑体"/>
        <w:sz w:val="21"/>
        <w:szCs w:val="21"/>
      </w:rPr>
      <w:tab/>
    </w:r>
    <w:r>
      <w:rPr>
        <w:rFonts w:ascii="黑体" w:hAnsi="黑体" w:eastAsia="黑体"/>
        <w:sz w:val="21"/>
        <w:szCs w:val="21"/>
      </w:rPr>
      <w:tab/>
    </w:r>
    <w:r>
      <w:rPr>
        <w:rFonts w:ascii="黑体" w:hAnsi="黑体" w:eastAsia="黑体"/>
        <w:sz w:val="21"/>
        <w:szCs w:val="21"/>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21"/>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284"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6CEA2025"/>
    <w:multiLevelType w:val="multilevel"/>
    <w:tmpl w:val="6CEA2025"/>
    <w:lvl w:ilvl="0" w:tentative="0">
      <w:start w:val="1"/>
      <w:numFmt w:val="none"/>
      <w:pStyle w:val="22"/>
      <w:suff w:val="nothing"/>
      <w:lvlText w:val="%1"/>
      <w:lvlJc w:val="left"/>
      <w:pPr>
        <w:ind w:left="0" w:firstLine="0"/>
      </w:pPr>
      <w:rPr>
        <w:rFonts w:hint="default" w:ascii="Times New Roman" w:hAnsi="Times New Roman"/>
        <w:b/>
        <w:i w:val="0"/>
        <w:sz w:val="21"/>
      </w:rPr>
    </w:lvl>
    <w:lvl w:ilvl="1" w:tentative="0">
      <w:start w:val="1"/>
      <w:numFmt w:val="decimal"/>
      <w:pStyle w:val="14"/>
      <w:suff w:val="nothing"/>
      <w:lvlText w:val="%1%2　"/>
      <w:lvlJc w:val="left"/>
      <w:pPr>
        <w:ind w:left="360" w:firstLine="0"/>
      </w:pPr>
      <w:rPr>
        <w:rFonts w:hint="eastAsia" w:ascii="黑体" w:hAnsi="Times New Roman" w:eastAsia="黑体"/>
        <w:b w:val="0"/>
        <w:i w:val="0"/>
        <w:sz w:val="21"/>
      </w:rPr>
    </w:lvl>
    <w:lvl w:ilvl="2" w:tentative="0">
      <w:start w:val="1"/>
      <w:numFmt w:val="decimal"/>
      <w:pStyle w:val="17"/>
      <w:suff w:val="nothing"/>
      <w:lvlText w:val="%1%2.%3　"/>
      <w:lvlJc w:val="left"/>
      <w:pPr>
        <w:ind w:left="0" w:firstLine="0"/>
      </w:pPr>
      <w:rPr>
        <w:rFonts w:hint="eastAsia" w:ascii="黑体" w:hAnsi="Times New Roman" w:eastAsia="黑体"/>
        <w:b w:val="0"/>
        <w:i w:val="0"/>
        <w:sz w:val="21"/>
      </w:rPr>
    </w:lvl>
    <w:lvl w:ilvl="3" w:tentative="0">
      <w:start w:val="1"/>
      <w:numFmt w:val="decimal"/>
      <w:pStyle w:val="20"/>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54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831"/>
    <w:rsid w:val="00016417"/>
    <w:rsid w:val="00051519"/>
    <w:rsid w:val="00053659"/>
    <w:rsid w:val="000C29F0"/>
    <w:rsid w:val="000E5326"/>
    <w:rsid w:val="000F1177"/>
    <w:rsid w:val="000F3546"/>
    <w:rsid w:val="0011064A"/>
    <w:rsid w:val="00131ECE"/>
    <w:rsid w:val="0018335B"/>
    <w:rsid w:val="00195740"/>
    <w:rsid w:val="00195EBA"/>
    <w:rsid w:val="001E3CBE"/>
    <w:rsid w:val="001F3057"/>
    <w:rsid w:val="00226F03"/>
    <w:rsid w:val="00247343"/>
    <w:rsid w:val="002568DB"/>
    <w:rsid w:val="002D1620"/>
    <w:rsid w:val="0034011E"/>
    <w:rsid w:val="00467DE9"/>
    <w:rsid w:val="005B2CE8"/>
    <w:rsid w:val="005B63FD"/>
    <w:rsid w:val="005C4D5C"/>
    <w:rsid w:val="005E4503"/>
    <w:rsid w:val="005F249D"/>
    <w:rsid w:val="005F72FB"/>
    <w:rsid w:val="00607CC9"/>
    <w:rsid w:val="006174B4"/>
    <w:rsid w:val="006368C2"/>
    <w:rsid w:val="00670459"/>
    <w:rsid w:val="00673E36"/>
    <w:rsid w:val="00692CC5"/>
    <w:rsid w:val="006E4104"/>
    <w:rsid w:val="006E78C3"/>
    <w:rsid w:val="007558D6"/>
    <w:rsid w:val="007A732B"/>
    <w:rsid w:val="00826483"/>
    <w:rsid w:val="008E76B2"/>
    <w:rsid w:val="00931243"/>
    <w:rsid w:val="009349A5"/>
    <w:rsid w:val="009807BE"/>
    <w:rsid w:val="00984ED3"/>
    <w:rsid w:val="009C6235"/>
    <w:rsid w:val="00AB3E24"/>
    <w:rsid w:val="00B530B7"/>
    <w:rsid w:val="00B5365B"/>
    <w:rsid w:val="00B54804"/>
    <w:rsid w:val="00BC7831"/>
    <w:rsid w:val="00C1344F"/>
    <w:rsid w:val="00C16546"/>
    <w:rsid w:val="00C266CD"/>
    <w:rsid w:val="00C553DB"/>
    <w:rsid w:val="00CF297F"/>
    <w:rsid w:val="00D62642"/>
    <w:rsid w:val="00D70986"/>
    <w:rsid w:val="00DA744C"/>
    <w:rsid w:val="00DE1D6D"/>
    <w:rsid w:val="00DF4594"/>
    <w:rsid w:val="00E60530"/>
    <w:rsid w:val="00F024E8"/>
    <w:rsid w:val="00F10A24"/>
    <w:rsid w:val="00F51C34"/>
    <w:rsid w:val="00F948F3"/>
    <w:rsid w:val="07C40129"/>
    <w:rsid w:val="08CE7A81"/>
    <w:rsid w:val="0A2A15BD"/>
    <w:rsid w:val="0AC37758"/>
    <w:rsid w:val="0B460AB5"/>
    <w:rsid w:val="0F2D7FC5"/>
    <w:rsid w:val="104B2927"/>
    <w:rsid w:val="11D11587"/>
    <w:rsid w:val="13E904F5"/>
    <w:rsid w:val="14C03B16"/>
    <w:rsid w:val="33E2260B"/>
    <w:rsid w:val="386E2FB9"/>
    <w:rsid w:val="3C922057"/>
    <w:rsid w:val="446077EA"/>
    <w:rsid w:val="46C24BA5"/>
    <w:rsid w:val="51171CD3"/>
    <w:rsid w:val="66D1263E"/>
    <w:rsid w:val="6A892D47"/>
    <w:rsid w:val="6AE23311"/>
    <w:rsid w:val="7C140D1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3"/>
    <w:basedOn w:val="1"/>
    <w:link w:val="12"/>
    <w:qFormat/>
    <w:uiPriority w:val="0"/>
    <w:pPr>
      <w:widowControl/>
    </w:pPr>
    <w:rPr>
      <w:rFonts w:ascii="Times New Roman" w:hAnsi="Times New Roman" w:eastAsia="仿宋_GB2312" w:cs="Times New Roman"/>
      <w:kern w:val="0"/>
      <w:sz w:val="28"/>
      <w:szCs w:val="20"/>
    </w:rPr>
  </w:style>
  <w:style w:type="paragraph" w:styleId="3">
    <w:name w:val="Balloon Text"/>
    <w:basedOn w:val="1"/>
    <w:link w:val="28"/>
    <w:semiHidden/>
    <w:unhideWhenUsed/>
    <w:qFormat/>
    <w:uiPriority w:val="99"/>
    <w:rPr>
      <w:sz w:val="18"/>
      <w:szCs w:val="18"/>
    </w:rPr>
  </w:style>
  <w:style w:type="paragraph" w:styleId="4">
    <w:name w:val="footer"/>
    <w:basedOn w:val="1"/>
    <w:link w:val="25"/>
    <w:unhideWhenUsed/>
    <w:qFormat/>
    <w:uiPriority w:val="99"/>
    <w:pPr>
      <w:tabs>
        <w:tab w:val="center" w:pos="4153"/>
        <w:tab w:val="right" w:pos="8306"/>
      </w:tabs>
      <w:snapToGrid w:val="0"/>
      <w:jc w:val="left"/>
    </w:pPr>
    <w:rPr>
      <w:sz w:val="18"/>
      <w:szCs w:val="18"/>
    </w:rPr>
  </w:style>
  <w:style w:type="paragraph" w:styleId="5">
    <w:name w:val="header"/>
    <w:basedOn w:val="1"/>
    <w:link w:val="24"/>
    <w:qFormat/>
    <w:uiPriority w:val="99"/>
    <w:pPr>
      <w:tabs>
        <w:tab w:val="center" w:pos="4153"/>
        <w:tab w:val="right" w:pos="8306"/>
      </w:tabs>
      <w:snapToGrid w:val="0"/>
      <w:jc w:val="center"/>
    </w:pPr>
    <w:rPr>
      <w:rFonts w:ascii="Times New Roman" w:hAnsi="Times New Roman" w:eastAsia="宋体" w:cs="Times New Roman"/>
      <w:sz w:val="18"/>
      <w:szCs w:val="18"/>
    </w:rPr>
  </w:style>
  <w:style w:type="paragraph" w:styleId="6">
    <w:name w:val="toc 1"/>
    <w:qFormat/>
    <w:uiPriority w:val="39"/>
    <w:pPr>
      <w:widowControl w:val="0"/>
      <w:spacing w:before="240" w:after="120"/>
    </w:pPr>
    <w:rPr>
      <w:rFonts w:ascii="等线" w:hAnsi="Times New Roman" w:eastAsia="等线" w:cs="Times New Roman"/>
      <w:b/>
      <w:bCs/>
      <w:kern w:val="2"/>
      <w:lang w:val="en-US" w:eastAsia="zh-CN" w:bidi="ar-SA"/>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customStyle="1" w:styleId="12">
    <w:name w:val="正文文本 3 字符"/>
    <w:basedOn w:val="10"/>
    <w:link w:val="2"/>
    <w:qFormat/>
    <w:uiPriority w:val="0"/>
    <w:rPr>
      <w:rFonts w:ascii="Times New Roman" w:hAnsi="Times New Roman" w:eastAsia="仿宋_GB2312" w:cs="Times New Roman"/>
      <w:kern w:val="0"/>
      <w:sz w:val="28"/>
      <w:szCs w:val="20"/>
    </w:rPr>
  </w:style>
  <w:style w:type="character" w:customStyle="1" w:styleId="13">
    <w:name w:val="章标题 Char"/>
    <w:link w:val="14"/>
    <w:qFormat/>
    <w:uiPriority w:val="0"/>
    <w:rPr>
      <w:rFonts w:ascii="黑体" w:eastAsia="黑体"/>
    </w:rPr>
  </w:style>
  <w:style w:type="paragraph" w:customStyle="1" w:styleId="14">
    <w:name w:val="章标题"/>
    <w:next w:val="15"/>
    <w:link w:val="13"/>
    <w:qFormat/>
    <w:uiPriority w:val="0"/>
    <w:pPr>
      <w:numPr>
        <w:ilvl w:val="1"/>
        <w:numId w:val="1"/>
      </w:numPr>
      <w:spacing w:beforeLines="50" w:afterLines="50"/>
      <w:jc w:val="both"/>
      <w:outlineLvl w:val="1"/>
    </w:pPr>
    <w:rPr>
      <w:rFonts w:ascii="黑体" w:eastAsia="黑体" w:hAnsiTheme="minorHAnsi" w:cstheme="minorBidi"/>
      <w:kern w:val="2"/>
      <w:sz w:val="21"/>
      <w:szCs w:val="22"/>
      <w:lang w:val="en-US" w:eastAsia="zh-CN" w:bidi="ar-SA"/>
    </w:rPr>
  </w:style>
  <w:style w:type="paragraph" w:customStyle="1" w:styleId="15">
    <w:name w:val="段"/>
    <w:link w:val="3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6">
    <w:name w:val="一级条标题 Char"/>
    <w:link w:val="17"/>
    <w:qFormat/>
    <w:uiPriority w:val="0"/>
    <w:rPr>
      <w:rFonts w:eastAsia="黑体"/>
    </w:rPr>
  </w:style>
  <w:style w:type="paragraph" w:customStyle="1" w:styleId="17">
    <w:name w:val="一级条标题"/>
    <w:next w:val="15"/>
    <w:link w:val="16"/>
    <w:qFormat/>
    <w:uiPriority w:val="0"/>
    <w:pPr>
      <w:numPr>
        <w:ilvl w:val="2"/>
        <w:numId w:val="1"/>
      </w:numPr>
      <w:outlineLvl w:val="2"/>
    </w:pPr>
    <w:rPr>
      <w:rFonts w:eastAsia="黑体" w:asciiTheme="minorHAnsi" w:hAnsiTheme="minorHAnsi" w:cstheme="minorBidi"/>
      <w:kern w:val="2"/>
      <w:sz w:val="21"/>
      <w:szCs w:val="22"/>
      <w:lang w:val="en-US" w:eastAsia="zh-CN" w:bidi="ar-SA"/>
    </w:rPr>
  </w:style>
  <w:style w:type="character" w:customStyle="1" w:styleId="18">
    <w:name w:val="页眉 Char"/>
    <w:basedOn w:val="10"/>
    <w:semiHidden/>
    <w:qFormat/>
    <w:uiPriority w:val="99"/>
    <w:rPr>
      <w:sz w:val="18"/>
      <w:szCs w:val="18"/>
    </w:rPr>
  </w:style>
  <w:style w:type="paragraph" w:customStyle="1" w:styleId="19">
    <w:name w:val="目次、标准名称标题"/>
    <w:basedOn w:val="1"/>
    <w:next w:val="1"/>
    <w:qFormat/>
    <w:uiPriority w:val="0"/>
    <w:pPr>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20">
    <w:name w:val="二级条标题"/>
    <w:basedOn w:val="17"/>
    <w:next w:val="15"/>
    <w:qFormat/>
    <w:uiPriority w:val="0"/>
    <w:pPr>
      <w:numPr>
        <w:ilvl w:val="3"/>
      </w:numPr>
      <w:tabs>
        <w:tab w:val="left" w:pos="435"/>
      </w:tabs>
      <w:ind w:left="435" w:hanging="435"/>
      <w:outlineLvl w:val="3"/>
    </w:pPr>
  </w:style>
  <w:style w:type="paragraph" w:customStyle="1" w:styleId="21">
    <w:name w:val="注：（正文）"/>
    <w:basedOn w:val="1"/>
    <w:next w:val="15"/>
    <w:qFormat/>
    <w:uiPriority w:val="0"/>
    <w:pPr>
      <w:numPr>
        <w:ilvl w:val="0"/>
        <w:numId w:val="2"/>
      </w:numPr>
      <w:tabs>
        <w:tab w:val="left" w:pos="1080"/>
      </w:tabs>
      <w:autoSpaceDE w:val="0"/>
      <w:autoSpaceDN w:val="0"/>
      <w:ind w:left="726" w:hanging="363"/>
    </w:pPr>
    <w:rPr>
      <w:rFonts w:ascii="宋体" w:hAnsi="Times New Roman" w:eastAsia="宋体" w:cs="Times New Roman"/>
      <w:kern w:val="0"/>
      <w:sz w:val="18"/>
      <w:szCs w:val="18"/>
    </w:rPr>
  </w:style>
  <w:style w:type="paragraph" w:customStyle="1" w:styleId="22">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3">
    <w:name w:val="标准书脚_奇数页"/>
    <w:qFormat/>
    <w:uiPriority w:val="0"/>
    <w:pPr>
      <w:spacing w:before="120"/>
      <w:jc w:val="right"/>
    </w:pPr>
    <w:rPr>
      <w:rFonts w:ascii="Times New Roman" w:hAnsi="Times New Roman" w:eastAsia="宋体" w:cs="Times New Roman"/>
      <w:sz w:val="18"/>
      <w:lang w:val="en-US" w:eastAsia="zh-CN" w:bidi="ar-SA"/>
    </w:rPr>
  </w:style>
  <w:style w:type="character" w:customStyle="1" w:styleId="24">
    <w:name w:val="页眉 字符"/>
    <w:link w:val="5"/>
    <w:qFormat/>
    <w:uiPriority w:val="99"/>
    <w:rPr>
      <w:rFonts w:ascii="Times New Roman" w:hAnsi="Times New Roman" w:eastAsia="宋体" w:cs="Times New Roman"/>
      <w:sz w:val="18"/>
      <w:szCs w:val="18"/>
    </w:rPr>
  </w:style>
  <w:style w:type="character" w:customStyle="1" w:styleId="25">
    <w:name w:val="页脚 字符"/>
    <w:basedOn w:val="10"/>
    <w:link w:val="4"/>
    <w:qFormat/>
    <w:uiPriority w:val="99"/>
    <w:rPr>
      <w:sz w:val="18"/>
      <w:szCs w:val="18"/>
    </w:rPr>
  </w:style>
  <w:style w:type="paragraph" w:styleId="26">
    <w:name w:val="List Paragraph"/>
    <w:basedOn w:val="1"/>
    <w:unhideWhenUsed/>
    <w:qFormat/>
    <w:uiPriority w:val="99"/>
    <w:pPr>
      <w:ind w:firstLine="420" w:firstLineChars="200"/>
    </w:pPr>
    <w:rPr>
      <w:szCs w:val="24"/>
    </w:rPr>
  </w:style>
  <w:style w:type="character" w:customStyle="1" w:styleId="27">
    <w:name w:val="未处理的提及1"/>
    <w:basedOn w:val="10"/>
    <w:semiHidden/>
    <w:unhideWhenUsed/>
    <w:qFormat/>
    <w:uiPriority w:val="99"/>
    <w:rPr>
      <w:color w:val="605E5C"/>
      <w:shd w:val="clear" w:color="auto" w:fill="E1DFDD"/>
    </w:rPr>
  </w:style>
  <w:style w:type="character" w:customStyle="1" w:styleId="28">
    <w:name w:val="批注框文本 字符"/>
    <w:basedOn w:val="10"/>
    <w:link w:val="3"/>
    <w:semiHidden/>
    <w:qFormat/>
    <w:uiPriority w:val="99"/>
    <w:rPr>
      <w:sz w:val="18"/>
      <w:szCs w:val="18"/>
    </w:rPr>
  </w:style>
  <w:style w:type="paragraph" w:customStyle="1" w:styleId="29">
    <w:name w:val="正文 + 宋体"/>
    <w:basedOn w:val="1"/>
    <w:qFormat/>
    <w:uiPriority w:val="0"/>
    <w:pPr>
      <w:spacing w:line="360" w:lineRule="auto"/>
      <w:ind w:firstLine="480" w:firstLineChars="200"/>
    </w:pPr>
    <w:rPr>
      <w:rFonts w:ascii="宋体" w:hAnsi="宋体" w:eastAsia="宋体" w:cs="Times New Roman"/>
      <w:sz w:val="24"/>
      <w:szCs w:val="24"/>
    </w:rPr>
  </w:style>
  <w:style w:type="character" w:customStyle="1" w:styleId="30">
    <w:name w:val="fontstyle01"/>
    <w:basedOn w:val="10"/>
    <w:qFormat/>
    <w:uiPriority w:val="0"/>
    <w:rPr>
      <w:rFonts w:hint="eastAsia" w:ascii="仿宋" w:hAnsi="仿宋" w:eastAsia="仿宋"/>
      <w:color w:val="000000"/>
      <w:sz w:val="30"/>
      <w:szCs w:val="30"/>
    </w:rPr>
  </w:style>
  <w:style w:type="paragraph" w:customStyle="1" w:styleId="31">
    <w:name w:val="Default"/>
    <w:qFormat/>
    <w:uiPriority w:val="0"/>
    <w:pPr>
      <w:widowControl w:val="0"/>
      <w:autoSpaceDE w:val="0"/>
      <w:autoSpaceDN w:val="0"/>
      <w:adjustRightInd w:val="0"/>
    </w:pPr>
    <w:rPr>
      <w:rFonts w:ascii="FZXiaoBiaoSong-B05S" w:hAnsi="Calibri" w:eastAsia="FZXiaoBiaoSong-B05S" w:cs="FZXiaoBiaoSong-B05S"/>
      <w:color w:val="000000"/>
      <w:sz w:val="24"/>
      <w:szCs w:val="24"/>
      <w:lang w:val="en-US" w:eastAsia="zh-CN" w:bidi="ar-SA"/>
    </w:rPr>
  </w:style>
  <w:style w:type="character" w:customStyle="1" w:styleId="32">
    <w:name w:val="未处理的提及2"/>
    <w:basedOn w:val="10"/>
    <w:semiHidden/>
    <w:unhideWhenUsed/>
    <w:qFormat/>
    <w:uiPriority w:val="99"/>
    <w:rPr>
      <w:color w:val="605E5C"/>
      <w:shd w:val="clear" w:color="auto" w:fill="E1DFDD"/>
    </w:rPr>
  </w:style>
  <w:style w:type="character" w:customStyle="1" w:styleId="33">
    <w:name w:val="段 Char"/>
    <w:basedOn w:val="10"/>
    <w:link w:val="15"/>
    <w:qFormat/>
    <w:uiPriority w:val="0"/>
    <w:rPr>
      <w:rFonts w:ascii="宋体" w:hAnsi="Times New Roman" w:eastAsia="宋体" w:cs="Times New Roman"/>
      <w:kern w:val="0"/>
      <w:szCs w:val="20"/>
    </w:rPr>
  </w:style>
  <w:style w:type="paragraph" w:customStyle="1" w:styleId="34">
    <w:name w:val="Bibliography"/>
    <w:basedOn w:val="1"/>
    <w:next w:val="1"/>
    <w:unhideWhenUsed/>
    <w:qFormat/>
    <w:uiPriority w:val="37"/>
    <w:pPr>
      <w:tabs>
        <w:tab w:val="left" w:pos="384"/>
      </w:tabs>
      <w:ind w:left="384" w:hanging="384"/>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4644</Words>
  <Characters>6252</Characters>
  <Lines>372</Lines>
  <Paragraphs>372</Paragraphs>
  <TotalTime>1</TotalTime>
  <ScaleCrop>false</ScaleCrop>
  <LinksUpToDate>false</LinksUpToDate>
  <CharactersWithSpaces>6439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2019-08-07T02:38:00Z</dcterms:created>
  <dc:creator>fengxue</dc:creator>
  <cp:lastModifiedBy>A~囡</cp:lastModifiedBy>
  <cp:lastPrinted>2019-09-11T03:12:00Z</cp:lastPrinted>
  <dcterms:modified xsi:type="dcterms:W3CDTF">2026-09-01T08:19:14Z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eyJoZGlkIjoiOTc4NTZjMjJiNzVkMzA4Zjg4ZDhkZTlkNjAwOGIwN2EiLCJ1c2VySWQiOiI0MzkyOTkxMzAifQ==</vt:lpwstr>
  </property>
  <property fmtid="{D5CDD505-2E9C-101B-9397-08002B2CF9AE}" pid="3" name="KSOProductBuildVer">
    <vt:lpwstr>2052-12.1.0.28505</vt:lpwstr>
  </property>
  <property fmtid="{D5CDD505-2E9C-101B-9397-08002B2CF9AE}" pid="4" name="ICV">
    <vt:lpwstr>CF84568E91E84F37A354A753AED88F3B_13</vt:lpwstr>
  </property>
  <property fmtid="{D5CDD505-2E9C-101B-9397-08002B2CF9AE}" pid="5" name="ZOTERO_PREF_1">
    <vt:lpwstr>&lt;data data-version="3" zotero-version="7.0.15"&gt;&lt;session id="wSVt7Odd"/&gt;&lt;style id="http://www.zotero.org/styles/china-national-standard-gb-t-7714-2015-numeric" hasBibliography="1" bibliographyStyleHasBeenSet="1"/&gt;&lt;prefs&gt;&lt;pref name="fieldType" value="Field"</vt:lpwstr>
  </property>
  <property fmtid="{D5CDD505-2E9C-101B-9397-08002B2CF9AE}" pid="6" name="ZOTERO_PREF_2">
    <vt:lpwstr>/&gt;&lt;/prefs&gt;&lt;/data&gt;</vt:lpwstr>
  </property>
</Properties>
</file>