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pacing w:line="0" w:lineRule="atLeast"/>
        <w:jc w:val="center"/>
        <w:rPr>
          <w:rFonts w:hint="eastAsia" w:ascii="方正小标宋简体" w:hAnsi="方正小标宋简体" w:eastAsia="方正小标宋简体" w:cs="方正小标宋简体"/>
          <w:b w:val="0"/>
          <w:bCs w:val="0"/>
          <w:spacing w:val="0"/>
          <w:sz w:val="30"/>
          <w:szCs w:val="30"/>
        </w:rPr>
      </w:pPr>
      <w:r>
        <w:rPr>
          <w:rFonts w:hint="eastAsia" w:ascii="方正小标宋简体" w:hAnsi="方正小标宋简体" w:eastAsia="方正小标宋简体" w:cs="方正小标宋简体"/>
          <w:b w:val="0"/>
          <w:bCs w:val="0"/>
          <w:spacing w:val="0"/>
          <w:sz w:val="30"/>
          <w:szCs w:val="30"/>
        </w:rPr>
        <w:t>中国中医科学院西苑医院</w:t>
      </w:r>
      <w:r>
        <w:rPr>
          <w:rFonts w:hint="eastAsia" w:ascii="方正小标宋简体" w:hAnsi="方正小标宋简体" w:eastAsia="方正小标宋简体" w:cs="方正小标宋简体"/>
          <w:b w:val="0"/>
          <w:bCs w:val="0"/>
          <w:spacing w:val="0"/>
          <w:sz w:val="30"/>
          <w:szCs w:val="30"/>
          <w:lang w:eastAsia="zh-CN"/>
        </w:rPr>
        <w:t>“杏林师说”</w:t>
      </w:r>
      <w:r>
        <w:rPr>
          <w:rFonts w:hint="eastAsia" w:ascii="方正小标宋简体" w:hAnsi="方正小标宋简体" w:eastAsia="方正小标宋简体" w:cs="方正小标宋简体"/>
          <w:b w:val="0"/>
          <w:bCs w:val="0"/>
          <w:spacing w:val="0"/>
          <w:sz w:val="30"/>
          <w:szCs w:val="30"/>
        </w:rPr>
        <w:t>文化</w:t>
      </w:r>
      <w:r>
        <w:rPr>
          <w:rFonts w:hint="eastAsia" w:ascii="方正小标宋简体" w:hAnsi="方正小标宋简体" w:eastAsia="方正小标宋简体" w:cs="方正小标宋简体"/>
          <w:b w:val="0"/>
          <w:bCs w:val="0"/>
          <w:spacing w:val="0"/>
          <w:sz w:val="30"/>
          <w:szCs w:val="30"/>
          <w:lang w:eastAsia="zh-CN"/>
        </w:rPr>
        <w:t>传承</w:t>
      </w:r>
      <w:r>
        <w:rPr>
          <w:rFonts w:hint="eastAsia" w:ascii="方正小标宋简体" w:hAnsi="方正小标宋简体" w:eastAsia="方正小标宋简体" w:cs="方正小标宋简体"/>
          <w:b w:val="0"/>
          <w:bCs w:val="0"/>
          <w:spacing w:val="0"/>
          <w:sz w:val="30"/>
          <w:szCs w:val="30"/>
        </w:rPr>
        <w:t>项目评分标准</w:t>
      </w:r>
    </w:p>
    <w:tbl>
      <w:tblPr>
        <w:tblStyle w:val="12"/>
        <w:tblpPr w:leftFromText="180" w:rightFromText="180" w:vertAnchor="page" w:horzAnchor="page" w:tblpX="1572" w:tblpY="1548"/>
        <w:tblOverlap w:val="never"/>
        <w:tblW w:w="0" w:type="auto"/>
        <w:tblInd w:w="0" w:type="dxa"/>
        <w:tblLayout w:type="autofit"/>
        <w:tblCellMar>
          <w:top w:w="0" w:type="dxa"/>
          <w:left w:w="108" w:type="dxa"/>
          <w:bottom w:w="0" w:type="dxa"/>
          <w:right w:w="108" w:type="dxa"/>
        </w:tblCellMar>
      </w:tblPr>
      <w:tblGrid>
        <w:gridCol w:w="956"/>
        <w:gridCol w:w="1609"/>
        <w:gridCol w:w="478"/>
        <w:gridCol w:w="6017"/>
      </w:tblGrid>
      <w:tr>
        <w:tblPrEx>
          <w:tblCellMar>
            <w:top w:w="0" w:type="dxa"/>
            <w:left w:w="108" w:type="dxa"/>
            <w:bottom w:w="0" w:type="dxa"/>
            <w:right w:w="108" w:type="dxa"/>
          </w:tblCellMar>
        </w:tblPrEx>
        <w:trPr>
          <w:trHeight w:val="507" w:hRule="atLeast"/>
        </w:trPr>
        <w:tc>
          <w:tcPr>
            <w:tcW w:w="0" w:type="auto"/>
            <w:tcBorders>
              <w:top w:val="single" w:color="000000" w:sz="8" w:space="0"/>
              <w:left w:val="single" w:color="000000" w:sz="8" w:space="0"/>
              <w:bottom w:val="single" w:color="000000" w:sz="4" w:space="0"/>
              <w:right w:val="single" w:color="000000" w:sz="8" w:space="0"/>
            </w:tcBorders>
            <w:shd w:val="clear" w:color="auto" w:fill="FFFFFF"/>
            <w:vAlign w:val="center"/>
          </w:tcPr>
          <w:p>
            <w:pPr>
              <w:spacing w:before="100" w:after="100" w:line="0" w:lineRule="atLeast"/>
              <w:jc w:val="center"/>
              <w:rPr>
                <w:rFonts w:ascii="宋体" w:hAnsi="宋体" w:eastAsia="宋体" w:cs="宋体"/>
                <w:b/>
                <w:szCs w:val="21"/>
              </w:rPr>
            </w:pPr>
            <w:r>
              <w:rPr>
                <w:rFonts w:hint="eastAsia" w:ascii="宋体" w:hAnsi="宋体" w:eastAsia="宋体"/>
                <w:b/>
                <w:szCs w:val="21"/>
              </w:rPr>
              <w:t>内容</w:t>
            </w:r>
          </w:p>
        </w:tc>
        <w:tc>
          <w:tcPr>
            <w:tcW w:w="0" w:type="auto"/>
            <w:tcBorders>
              <w:top w:val="single" w:color="000000" w:sz="8" w:space="0"/>
              <w:left w:val="nil"/>
              <w:bottom w:val="single" w:color="000000" w:sz="4" w:space="0"/>
              <w:right w:val="single" w:color="000000" w:sz="8" w:space="0"/>
            </w:tcBorders>
            <w:shd w:val="clear" w:color="auto" w:fill="FFFFFF"/>
            <w:vAlign w:val="center"/>
          </w:tcPr>
          <w:p>
            <w:pPr>
              <w:spacing w:before="100" w:after="100" w:line="0" w:lineRule="atLeast"/>
              <w:jc w:val="center"/>
              <w:rPr>
                <w:rFonts w:ascii="宋体" w:hAnsi="宋体" w:eastAsia="宋体" w:cs="宋体"/>
                <w:b/>
                <w:szCs w:val="21"/>
              </w:rPr>
            </w:pPr>
            <w:r>
              <w:rPr>
                <w:rFonts w:hint="eastAsia" w:ascii="宋体" w:hAnsi="宋体" w:eastAsia="宋体"/>
                <w:b/>
                <w:szCs w:val="21"/>
              </w:rPr>
              <w:t>评分内容</w:t>
            </w:r>
          </w:p>
        </w:tc>
        <w:tc>
          <w:tcPr>
            <w:tcW w:w="0" w:type="auto"/>
            <w:tcBorders>
              <w:top w:val="single" w:color="000000" w:sz="8" w:space="0"/>
              <w:left w:val="nil"/>
              <w:bottom w:val="single" w:color="000000" w:sz="4" w:space="0"/>
              <w:right w:val="single" w:color="000000" w:sz="8" w:space="0"/>
            </w:tcBorders>
            <w:shd w:val="clear" w:color="auto" w:fill="FFFFFF"/>
            <w:vAlign w:val="center"/>
          </w:tcPr>
          <w:p>
            <w:pPr>
              <w:spacing w:before="100" w:after="100" w:line="0" w:lineRule="atLeast"/>
              <w:jc w:val="center"/>
              <w:rPr>
                <w:rFonts w:ascii="宋体" w:hAnsi="宋体" w:eastAsia="宋体" w:cs="宋体"/>
                <w:b/>
                <w:szCs w:val="21"/>
              </w:rPr>
            </w:pPr>
            <w:r>
              <w:rPr>
                <w:rFonts w:hint="eastAsia" w:ascii="宋体" w:hAnsi="宋体" w:eastAsia="宋体"/>
                <w:b/>
                <w:szCs w:val="21"/>
              </w:rPr>
              <w:t>分值</w:t>
            </w:r>
          </w:p>
        </w:tc>
        <w:tc>
          <w:tcPr>
            <w:tcW w:w="0" w:type="auto"/>
            <w:tcBorders>
              <w:top w:val="single" w:color="000000" w:sz="8" w:space="0"/>
              <w:left w:val="single" w:color="000000" w:sz="2" w:space="0"/>
              <w:bottom w:val="single" w:color="000000" w:sz="4" w:space="0"/>
              <w:right w:val="single" w:color="000000" w:sz="8" w:space="0"/>
            </w:tcBorders>
            <w:shd w:val="clear" w:color="auto" w:fill="FFFFFF"/>
            <w:vAlign w:val="center"/>
          </w:tcPr>
          <w:p>
            <w:pPr>
              <w:spacing w:before="100" w:after="100" w:line="0" w:lineRule="atLeast"/>
              <w:jc w:val="center"/>
              <w:rPr>
                <w:rFonts w:ascii="宋体" w:hAnsi="宋体" w:eastAsia="宋体" w:cs="宋体"/>
                <w:b/>
                <w:szCs w:val="21"/>
              </w:rPr>
            </w:pPr>
            <w:r>
              <w:rPr>
                <w:rFonts w:hint="eastAsia" w:ascii="宋体" w:hAnsi="宋体" w:eastAsia="宋体"/>
                <w:b/>
                <w:szCs w:val="21"/>
              </w:rPr>
              <w:t>评标标准</w:t>
            </w:r>
          </w:p>
        </w:tc>
      </w:tr>
      <w:tr>
        <w:tblPrEx>
          <w:tblCellMar>
            <w:top w:w="0" w:type="dxa"/>
            <w:left w:w="108" w:type="dxa"/>
            <w:bottom w:w="0" w:type="dxa"/>
            <w:right w:w="108" w:type="dxa"/>
          </w:tblCellMar>
        </w:tblPrEx>
        <w:trPr>
          <w:trHeight w:val="2430" w:hRule="atLeast"/>
        </w:trPr>
        <w:tc>
          <w:tcPr>
            <w:tcW w:w="0" w:type="auto"/>
            <w:tcBorders>
              <w:top w:val="single" w:color="000000" w:sz="8" w:space="0"/>
              <w:left w:val="single" w:color="000000" w:sz="8" w:space="0"/>
              <w:bottom w:val="single" w:color="000000" w:sz="4" w:space="0"/>
              <w:right w:val="single" w:color="000000" w:sz="8" w:space="0"/>
            </w:tcBorders>
            <w:shd w:val="clear" w:color="auto" w:fill="FFFFFF"/>
            <w:vAlign w:val="center"/>
          </w:tcPr>
          <w:p>
            <w:pPr>
              <w:spacing w:after="200" w:line="0" w:lineRule="atLeast"/>
              <w:rPr>
                <w:rFonts w:hint="eastAsia" w:ascii="仿宋" w:hAnsi="仿宋" w:eastAsia="仿宋" w:cs="仿宋"/>
                <w:szCs w:val="21"/>
              </w:rPr>
            </w:pPr>
            <w:r>
              <w:rPr>
                <w:rFonts w:hint="eastAsia" w:ascii="仿宋" w:hAnsi="仿宋" w:eastAsia="仿宋" w:cs="仿宋"/>
                <w:szCs w:val="21"/>
              </w:rPr>
              <w:t>价格部分（10分）</w:t>
            </w:r>
          </w:p>
        </w:tc>
        <w:tc>
          <w:tcPr>
            <w:tcW w:w="0" w:type="auto"/>
            <w:tcBorders>
              <w:top w:val="single" w:color="000000" w:sz="8"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kern w:val="0"/>
                <w:szCs w:val="21"/>
              </w:rPr>
            </w:pPr>
            <w:r>
              <w:rPr>
                <w:rFonts w:hint="eastAsia" w:ascii="仿宋" w:hAnsi="仿宋" w:eastAsia="仿宋" w:cs="仿宋"/>
                <w:kern w:val="0"/>
                <w:szCs w:val="21"/>
              </w:rPr>
              <w:t>遴选报价</w:t>
            </w:r>
          </w:p>
        </w:tc>
        <w:tc>
          <w:tcPr>
            <w:tcW w:w="0" w:type="auto"/>
            <w:tcBorders>
              <w:top w:val="single" w:color="000000" w:sz="8"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 xml:space="preserve">10 </w:t>
            </w:r>
          </w:p>
        </w:tc>
        <w:tc>
          <w:tcPr>
            <w:tcW w:w="0" w:type="auto"/>
            <w:tcBorders>
              <w:top w:val="single" w:color="000000" w:sz="8"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综合评分法中的价格分统一采用低价优先法计算，即满足遴选文件要求且价格最低的评审价为评标基准价，其价格分为满分。其他供应商的价格分统一按照下列公式计算：价格分数=（基准价/遴选报价）×10。最低报价不作为成</w:t>
            </w:r>
            <w:bookmarkStart w:id="0" w:name="_GoBack"/>
            <w:bookmarkEnd w:id="0"/>
            <w:r>
              <w:rPr>
                <w:rFonts w:hint="eastAsia" w:ascii="仿宋" w:hAnsi="仿宋" w:eastAsia="仿宋" w:cs="仿宋"/>
                <w:szCs w:val="21"/>
              </w:rPr>
              <w:t>交保证。</w:t>
            </w:r>
          </w:p>
          <w:p>
            <w:pPr>
              <w:spacing w:line="0" w:lineRule="atLeast"/>
              <w:rPr>
                <w:rFonts w:hint="eastAsia" w:ascii="仿宋" w:hAnsi="仿宋" w:eastAsia="仿宋" w:cs="仿宋"/>
                <w:kern w:val="0"/>
                <w:szCs w:val="21"/>
              </w:rPr>
            </w:pPr>
            <w:r>
              <w:rPr>
                <w:rFonts w:hint="eastAsia" w:ascii="仿宋" w:hAnsi="仿宋" w:eastAsia="仿宋" w:cs="仿宋"/>
                <w:szCs w:val="21"/>
              </w:rPr>
              <w:t>【如评审专家组认为某供应商报价明显低于其他供应商报价时，会要求其在评审现场合理的时间内提供书面说明，必要时提交相关材料。如供应商不能在指定时间证明其报价合理性的，评审专家组有权将其作为无效遴选处理】</w:t>
            </w:r>
          </w:p>
        </w:tc>
      </w:tr>
      <w:tr>
        <w:tblPrEx>
          <w:tblCellMar>
            <w:top w:w="0" w:type="dxa"/>
            <w:left w:w="108" w:type="dxa"/>
            <w:bottom w:w="0" w:type="dxa"/>
            <w:right w:w="108" w:type="dxa"/>
          </w:tblCellMar>
        </w:tblPrEx>
        <w:tc>
          <w:tcPr>
            <w:tcW w:w="0" w:type="auto"/>
            <w:vMerge w:val="restart"/>
            <w:tcBorders>
              <w:top w:val="nil"/>
              <w:left w:val="single" w:color="000000" w:sz="8" w:space="0"/>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商务部分（20分）</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承担类似项目业绩</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10</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kern w:val="0"/>
                <w:szCs w:val="21"/>
              </w:rPr>
              <w:t>根据供应商近五年（201</w:t>
            </w:r>
            <w:r>
              <w:rPr>
                <w:rFonts w:hint="eastAsia" w:ascii="仿宋" w:hAnsi="仿宋" w:eastAsia="仿宋" w:cs="仿宋"/>
                <w:kern w:val="0"/>
                <w:szCs w:val="21"/>
                <w:lang w:val="en-US" w:eastAsia="zh-CN"/>
              </w:rPr>
              <w:t>9</w:t>
            </w:r>
            <w:r>
              <w:rPr>
                <w:rFonts w:hint="eastAsia" w:ascii="仿宋" w:hAnsi="仿宋" w:eastAsia="仿宋" w:cs="仿宋"/>
                <w:kern w:val="0"/>
                <w:szCs w:val="21"/>
              </w:rPr>
              <w:t>年起至本遴选公告发布前，以合同签订日期为准）承担与本项目类似的项目</w:t>
            </w:r>
            <w:r>
              <w:rPr>
                <w:rFonts w:hint="eastAsia" w:ascii="仿宋" w:hAnsi="仿宋" w:eastAsia="仿宋" w:cs="仿宋"/>
                <w:szCs w:val="21"/>
              </w:rPr>
              <w:t>业绩进行评价。</w:t>
            </w:r>
          </w:p>
          <w:p>
            <w:pPr>
              <w:spacing w:line="0" w:lineRule="atLeast"/>
              <w:rPr>
                <w:rFonts w:hint="eastAsia" w:ascii="仿宋" w:hAnsi="仿宋" w:eastAsia="仿宋" w:cs="仿宋"/>
                <w:szCs w:val="21"/>
              </w:rPr>
            </w:pPr>
            <w:r>
              <w:rPr>
                <w:rFonts w:hint="eastAsia" w:ascii="仿宋" w:hAnsi="仿宋" w:eastAsia="仿宋" w:cs="仿宋"/>
                <w:szCs w:val="21"/>
              </w:rPr>
              <w:t>每承接1个类似规模的项目业绩得2分，最多得10分。</w:t>
            </w:r>
            <w:r>
              <w:rPr>
                <w:rFonts w:hint="eastAsia" w:ascii="仿宋" w:hAnsi="仿宋" w:eastAsia="仿宋" w:cs="仿宋"/>
                <w:kern w:val="0"/>
                <w:szCs w:val="21"/>
              </w:rPr>
              <w:t>注：供应商需提供项目合同复印件（至少应包括合同首页、内容页、签字盖章页）作为证明业绩证明材料，如未提供业绩证明材料或提供的材料不齐全的，业绩将不予认可。</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项目人员配备</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4</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拟投入本项目团队主要成员情况及参与过相关项目的资料，需提供人员名册，必须保证后续参与该项工作。（横向比较，最优得4分、较好得2分、一般得1分、较差得0分）</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项目负责人情况</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6</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拟投入本项目负责人</w:t>
            </w:r>
            <w:r>
              <w:rPr>
                <w:rFonts w:hint="eastAsia" w:ascii="仿宋" w:hAnsi="仿宋" w:eastAsia="仿宋" w:cs="仿宋"/>
                <w:szCs w:val="21"/>
                <w:lang w:eastAsia="zh-CN"/>
              </w:rPr>
              <w:t>近三年（</w:t>
            </w:r>
            <w:r>
              <w:rPr>
                <w:rFonts w:hint="eastAsia" w:ascii="仿宋" w:hAnsi="仿宋" w:eastAsia="仿宋" w:cs="仿宋"/>
                <w:kern w:val="0"/>
                <w:szCs w:val="21"/>
                <w:lang w:val="en-US" w:eastAsia="zh-CN"/>
              </w:rPr>
              <w:t>2021</w:t>
            </w:r>
            <w:r>
              <w:rPr>
                <w:rFonts w:hint="eastAsia" w:ascii="仿宋" w:hAnsi="仿宋" w:eastAsia="仿宋" w:cs="仿宋"/>
                <w:kern w:val="0"/>
                <w:szCs w:val="21"/>
              </w:rPr>
              <w:t>年起至本遴选公告发布前</w:t>
            </w:r>
            <w:r>
              <w:rPr>
                <w:rFonts w:hint="eastAsia" w:ascii="仿宋" w:hAnsi="仿宋" w:eastAsia="仿宋" w:cs="仿宋"/>
                <w:szCs w:val="21"/>
                <w:lang w:eastAsia="zh-CN"/>
              </w:rPr>
              <w:t>）</w:t>
            </w:r>
            <w:r>
              <w:rPr>
                <w:rFonts w:hint="eastAsia" w:ascii="仿宋" w:hAnsi="仿宋" w:eastAsia="仿宋" w:cs="仿宋"/>
                <w:szCs w:val="21"/>
              </w:rPr>
              <w:t>承担的卫生健康</w:t>
            </w:r>
            <w:r>
              <w:rPr>
                <w:rFonts w:hint="eastAsia" w:ascii="仿宋" w:hAnsi="仿宋" w:eastAsia="仿宋" w:cs="仿宋"/>
                <w:szCs w:val="21"/>
                <w:lang w:eastAsia="zh-CN"/>
              </w:rPr>
              <w:t>领域</w:t>
            </w:r>
            <w:r>
              <w:rPr>
                <w:rFonts w:hint="eastAsia" w:ascii="仿宋" w:hAnsi="仿宋" w:eastAsia="仿宋" w:cs="仿宋"/>
                <w:szCs w:val="21"/>
              </w:rPr>
              <w:t>工作情况。每项业绩得2分，最高得6分（需提供参与该项目的相关证明材料）</w:t>
            </w:r>
          </w:p>
        </w:tc>
      </w:tr>
      <w:tr>
        <w:tblPrEx>
          <w:tblCellMar>
            <w:top w:w="0" w:type="dxa"/>
            <w:left w:w="108" w:type="dxa"/>
            <w:bottom w:w="0" w:type="dxa"/>
            <w:right w:w="108" w:type="dxa"/>
          </w:tblCellMar>
        </w:tblPrEx>
        <w:tc>
          <w:tcPr>
            <w:tcW w:w="0" w:type="auto"/>
            <w:vMerge w:val="restart"/>
            <w:tcBorders>
              <w:top w:val="nil"/>
              <w:left w:val="single" w:color="000000" w:sz="8" w:space="0"/>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技术部分（70分）</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针对本项目特点的专业化实施方案评价</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40</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针对本项目遴选需求提供①本项目</w:t>
            </w:r>
            <w:r>
              <w:rPr>
                <w:rFonts w:hint="eastAsia" w:ascii="仿宋" w:hAnsi="仿宋" w:eastAsia="仿宋" w:cs="仿宋"/>
                <w:szCs w:val="21"/>
                <w:lang w:eastAsia="zh-CN"/>
              </w:rPr>
              <w:t>实施</w:t>
            </w:r>
            <w:r>
              <w:rPr>
                <w:rFonts w:hint="eastAsia" w:ascii="仿宋" w:hAnsi="仿宋" w:eastAsia="仿宋" w:cs="仿宋"/>
                <w:szCs w:val="21"/>
              </w:rPr>
              <w:t>方案②预期效果。项目实施方案编制思路清晰、目标明确、条理严谨，实施方案对项目结果的最终实现具有良好的支撑性、衔接性，符合遴选工作任务要求，预期成果及技术路线完备。</w:t>
            </w:r>
          </w:p>
          <w:p>
            <w:pPr>
              <w:spacing w:line="0" w:lineRule="atLeast"/>
              <w:rPr>
                <w:rFonts w:hint="eastAsia" w:ascii="仿宋" w:hAnsi="仿宋" w:eastAsia="仿宋" w:cs="仿宋"/>
                <w:szCs w:val="21"/>
              </w:rPr>
            </w:pPr>
            <w:r>
              <w:rPr>
                <w:rFonts w:hint="eastAsia" w:ascii="仿宋" w:hAnsi="仿宋" w:eastAsia="仿宋" w:cs="仿宋"/>
                <w:szCs w:val="21"/>
              </w:rPr>
              <w:t>每项内容满分15分，内容进行了详细的论述且满足遴选需求，优秀的得15分、良好的得10分，内容虽阐述但未贴合项目实际情况或内容未包括具体实施细节及措施得5分，内容未进行阐述或不满足遴选需求得0分。</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对项目重点、难点的理解</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10</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对项目建设背景及项目建设需求理解充分，对需求分析准确，对项目认识深入、需包含项目意义（</w:t>
            </w:r>
            <w:r>
              <w:rPr>
                <w:rFonts w:hint="eastAsia" w:ascii="仿宋" w:hAnsi="仿宋" w:eastAsia="仿宋" w:cs="仿宋"/>
                <w:szCs w:val="21"/>
                <w:lang w:val="en-US" w:eastAsia="zh-CN"/>
              </w:rPr>
              <w:t>2.5</w:t>
            </w:r>
            <w:r>
              <w:rPr>
                <w:rFonts w:hint="eastAsia" w:ascii="仿宋" w:hAnsi="仿宋" w:eastAsia="仿宋" w:cs="仿宋"/>
                <w:szCs w:val="21"/>
              </w:rPr>
              <w:t>分）、</w:t>
            </w:r>
            <w:r>
              <w:rPr>
                <w:rFonts w:hint="eastAsia" w:ascii="仿宋" w:hAnsi="仿宋" w:eastAsia="仿宋" w:cs="仿宋"/>
                <w:szCs w:val="21"/>
                <w:lang w:eastAsia="zh-CN"/>
              </w:rPr>
              <w:t>内容</w:t>
            </w:r>
            <w:r>
              <w:rPr>
                <w:rFonts w:hint="eastAsia" w:ascii="仿宋" w:hAnsi="仿宋" w:eastAsia="仿宋" w:cs="仿宋"/>
                <w:szCs w:val="21"/>
              </w:rPr>
              <w:t>需求（2</w:t>
            </w:r>
            <w:r>
              <w:rPr>
                <w:rFonts w:hint="eastAsia" w:ascii="仿宋" w:hAnsi="仿宋" w:eastAsia="仿宋" w:cs="仿宋"/>
                <w:szCs w:val="21"/>
                <w:lang w:val="en-US" w:eastAsia="zh-CN"/>
              </w:rPr>
              <w:t>.5</w:t>
            </w:r>
            <w:r>
              <w:rPr>
                <w:rFonts w:hint="eastAsia" w:ascii="仿宋" w:hAnsi="仿宋" w:eastAsia="仿宋" w:cs="仿宋"/>
                <w:szCs w:val="21"/>
              </w:rPr>
              <w:t>分）、效果需求（2</w:t>
            </w:r>
            <w:r>
              <w:rPr>
                <w:rFonts w:hint="eastAsia" w:ascii="仿宋" w:hAnsi="仿宋" w:eastAsia="仿宋" w:cs="仿宋"/>
                <w:szCs w:val="21"/>
                <w:lang w:val="en-US" w:eastAsia="zh-CN"/>
              </w:rPr>
              <w:t>.5</w:t>
            </w:r>
            <w:r>
              <w:rPr>
                <w:rFonts w:hint="eastAsia" w:ascii="仿宋" w:hAnsi="仿宋" w:eastAsia="仿宋" w:cs="仿宋"/>
                <w:szCs w:val="21"/>
              </w:rPr>
              <w:t>分）、项目管理需求（2</w:t>
            </w:r>
            <w:r>
              <w:rPr>
                <w:rFonts w:hint="eastAsia" w:ascii="仿宋" w:hAnsi="仿宋" w:eastAsia="仿宋" w:cs="仿宋"/>
                <w:szCs w:val="21"/>
                <w:lang w:val="en-US" w:eastAsia="zh-CN"/>
              </w:rPr>
              <w:t>.5</w:t>
            </w:r>
            <w:r>
              <w:rPr>
                <w:rFonts w:hint="eastAsia" w:ascii="仿宋" w:hAnsi="仿宋" w:eastAsia="仿宋" w:cs="仿宋"/>
                <w:szCs w:val="21"/>
              </w:rPr>
              <w:t>分）。</w:t>
            </w:r>
          </w:p>
          <w:p>
            <w:pPr>
              <w:spacing w:line="0" w:lineRule="atLeast"/>
              <w:rPr>
                <w:rFonts w:hint="eastAsia" w:ascii="仿宋" w:hAnsi="仿宋" w:eastAsia="仿宋" w:cs="仿宋"/>
                <w:szCs w:val="21"/>
              </w:rPr>
            </w:pPr>
            <w:r>
              <w:rPr>
                <w:rFonts w:hint="eastAsia" w:ascii="仿宋" w:hAnsi="仿宋" w:eastAsia="仿宋" w:cs="仿宋"/>
                <w:szCs w:val="21"/>
              </w:rPr>
              <w:t>完全满足上述描述的得10分，有一项未阐述或不满足上述描述的扣2</w:t>
            </w:r>
            <w:r>
              <w:rPr>
                <w:rFonts w:hint="eastAsia" w:ascii="仿宋" w:hAnsi="仿宋" w:eastAsia="仿宋" w:cs="仿宋"/>
                <w:szCs w:val="21"/>
                <w:lang w:val="en-US" w:eastAsia="zh-CN"/>
              </w:rPr>
              <w:t>.5</w:t>
            </w:r>
            <w:r>
              <w:rPr>
                <w:rFonts w:hint="eastAsia" w:ascii="仿宋" w:hAnsi="仿宋" w:eastAsia="仿宋" w:cs="仿宋"/>
                <w:szCs w:val="21"/>
              </w:rPr>
              <w:t>分，扣完为止。</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进度安排评价</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10</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供应商需提供针对本项目的进度安排计划，本项内容满分10分，内容进行了详细的论述且满足需求得10分，内容虽阐述但未贴合项目实际情况或内容未包括具体实施细节及措施得5分，内容未进行阐述或不满足遴选需求得0分</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在服务过程中配合、沟通方案评价</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5</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供应商须提供沟通机制，内容包括①服务人员安排②沟通方案，要求有专人定期沟通，配合。</w:t>
            </w:r>
          </w:p>
          <w:p>
            <w:pPr>
              <w:spacing w:line="0" w:lineRule="atLeast"/>
              <w:rPr>
                <w:rFonts w:hint="eastAsia" w:ascii="仿宋" w:hAnsi="仿宋" w:eastAsia="仿宋" w:cs="仿宋"/>
                <w:szCs w:val="21"/>
              </w:rPr>
            </w:pPr>
            <w:r>
              <w:rPr>
                <w:rFonts w:hint="eastAsia" w:ascii="仿宋" w:hAnsi="仿宋" w:eastAsia="仿宋" w:cs="仿宋"/>
                <w:szCs w:val="21"/>
              </w:rPr>
              <w:t>满分5分，内容进行了详细的论述且满足需求得5分，内容虽阐述但未贴合项目实际情况或内容未包括具体实施细节及措施得3分，内容未进行阐述或不满足需求得0分</w:t>
            </w:r>
          </w:p>
        </w:tc>
      </w:tr>
      <w:tr>
        <w:tblPrEx>
          <w:tblCellMar>
            <w:top w:w="0" w:type="dxa"/>
            <w:left w:w="108" w:type="dxa"/>
            <w:bottom w:w="0" w:type="dxa"/>
            <w:right w:w="108" w:type="dxa"/>
          </w:tblCellMar>
        </w:tblPrEx>
        <w:tc>
          <w:tcPr>
            <w:tcW w:w="0" w:type="auto"/>
            <w:vMerge w:val="continue"/>
            <w:tcBorders>
              <w:top w:val="nil"/>
              <w:left w:val="single" w:color="000000" w:sz="8" w:space="0"/>
              <w:bottom w:val="single" w:color="000000" w:sz="4" w:space="0"/>
              <w:right w:val="single" w:color="000000" w:sz="8" w:space="0"/>
            </w:tcBorders>
            <w:shd w:val="clear" w:color="auto" w:fill="auto"/>
            <w:vAlign w:val="center"/>
          </w:tcPr>
          <w:p>
            <w:pPr>
              <w:spacing w:line="0" w:lineRule="atLeast"/>
              <w:rPr>
                <w:rFonts w:hint="eastAsia" w:ascii="仿宋" w:hAnsi="仿宋" w:eastAsia="仿宋" w:cs="仿宋"/>
                <w:szCs w:val="21"/>
              </w:rPr>
            </w:pP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rPr>
                <w:rFonts w:hint="eastAsia" w:ascii="仿宋" w:hAnsi="仿宋" w:eastAsia="仿宋" w:cs="仿宋"/>
                <w:szCs w:val="21"/>
              </w:rPr>
            </w:pPr>
            <w:r>
              <w:rPr>
                <w:rFonts w:hint="eastAsia" w:ascii="仿宋" w:hAnsi="仿宋" w:eastAsia="仿宋" w:cs="仿宋"/>
                <w:szCs w:val="21"/>
              </w:rPr>
              <w:t>结合本项目的实际情况，提供的合理化建议评价</w:t>
            </w:r>
          </w:p>
        </w:tc>
        <w:tc>
          <w:tcPr>
            <w:tcW w:w="0" w:type="auto"/>
            <w:tcBorders>
              <w:top w:val="single" w:color="000000" w:sz="4" w:space="0"/>
              <w:left w:val="nil"/>
              <w:bottom w:val="single" w:color="000000" w:sz="4" w:space="0"/>
              <w:right w:val="single" w:color="000000" w:sz="8" w:space="0"/>
            </w:tcBorders>
            <w:shd w:val="clear" w:color="auto" w:fill="FFFFFF"/>
            <w:vAlign w:val="center"/>
          </w:tcPr>
          <w:p>
            <w:pPr>
              <w:spacing w:before="100" w:after="100" w:line="0" w:lineRule="atLeast"/>
              <w:jc w:val="center"/>
              <w:rPr>
                <w:rFonts w:hint="eastAsia" w:ascii="仿宋" w:hAnsi="仿宋" w:eastAsia="仿宋" w:cs="仿宋"/>
                <w:szCs w:val="21"/>
              </w:rPr>
            </w:pPr>
            <w:r>
              <w:rPr>
                <w:rFonts w:hint="eastAsia" w:ascii="仿宋" w:hAnsi="仿宋" w:eastAsia="仿宋" w:cs="仿宋"/>
                <w:szCs w:val="21"/>
              </w:rPr>
              <w:t>5</w:t>
            </w:r>
          </w:p>
        </w:tc>
        <w:tc>
          <w:tcPr>
            <w:tcW w:w="0" w:type="auto"/>
            <w:tcBorders>
              <w:top w:val="single" w:color="000000" w:sz="4" w:space="0"/>
              <w:left w:val="single" w:color="000000" w:sz="2" w:space="0"/>
              <w:bottom w:val="single" w:color="000000" w:sz="4" w:space="0"/>
              <w:right w:val="single" w:color="000000" w:sz="8" w:space="0"/>
            </w:tcBorders>
            <w:shd w:val="clear" w:color="auto" w:fill="FFFFFF"/>
            <w:vAlign w:val="center"/>
          </w:tcPr>
          <w:p>
            <w:pPr>
              <w:spacing w:line="0" w:lineRule="atLeast"/>
              <w:rPr>
                <w:rFonts w:hint="eastAsia" w:ascii="仿宋" w:hAnsi="仿宋" w:eastAsia="仿宋" w:cs="仿宋"/>
                <w:szCs w:val="21"/>
              </w:rPr>
            </w:pPr>
            <w:r>
              <w:rPr>
                <w:rFonts w:hint="eastAsia" w:ascii="仿宋" w:hAnsi="仿宋" w:eastAsia="仿宋" w:cs="仿宋"/>
                <w:szCs w:val="21"/>
              </w:rPr>
              <w:t>供应商须针对本项目提供合理化建议，本项内容满分5分，建议需具有可操作性，每提供一条建议得1分，满分5分</w:t>
            </w:r>
          </w:p>
        </w:tc>
      </w:tr>
    </w:tbl>
    <w:p>
      <w:pPr>
        <w:pStyle w:val="10"/>
      </w:pPr>
    </w:p>
    <w:sectPr>
      <w:headerReference r:id="rId5" w:type="default"/>
      <w:footerReference r:id="rId6" w:type="default"/>
      <w:footerReference r:id="rId7" w:type="even"/>
      <w:pgSz w:w="11906" w:h="16838"/>
      <w:pgMar w:top="438" w:right="1474" w:bottom="860" w:left="1588" w:header="283" w:footer="567" w:gutter="0"/>
      <w:cols w:space="720" w:num="1"/>
      <w:docGrid w:type="lines"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1" w:fontKey="{493989EF-42E8-4CD3-B95C-1915153CB5F0}"/>
  </w:font>
  <w:font w:name="仿宋">
    <w:panose1 w:val="02010609060101010101"/>
    <w:charset w:val="86"/>
    <w:family w:val="modern"/>
    <w:pitch w:val="default"/>
    <w:sig w:usb0="800002BF" w:usb1="38CF7CFA" w:usb2="00000016" w:usb3="00000000" w:csb0="00040001" w:csb1="00000000"/>
    <w:embedRegular r:id="rId2" w:fontKey="{955EF41D-A14B-4BEA-9150-65A489949B5A}"/>
  </w:font>
  <w:font w:name="方正小标宋简体">
    <w:panose1 w:val="02000000000000000000"/>
    <w:charset w:val="86"/>
    <w:family w:val="script"/>
    <w:pitch w:val="default"/>
    <w:sig w:usb0="00000001" w:usb1="08000000" w:usb2="00000000" w:usb3="00000000" w:csb0="00040000" w:csb1="00000000"/>
    <w:embedRegular r:id="rId3" w:fontKey="{A896FF36-DEFC-46F5-A5F5-A634C5A7FA4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210" w:leftChars="100"/>
      <w:rPr>
        <w:rStyle w:val="16"/>
        <w:rFonts w:ascii="宋体" w:hAnsi="宋体"/>
        <w:sz w:val="28"/>
        <w:szCs w:val="28"/>
      </w:rPr>
    </w:pPr>
    <w:r>
      <w:rPr>
        <w:rStyle w:val="16"/>
        <w:rFonts w:hint="eastAsia" w:ascii="宋体" w:hAnsi="宋体"/>
        <w:sz w:val="28"/>
        <w:szCs w:val="28"/>
      </w:rPr>
      <w:t xml:space="preserve">－ </w:t>
    </w: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4</w:t>
    </w:r>
    <w:r>
      <w:rPr>
        <w:rStyle w:val="16"/>
        <w:rFonts w:ascii="宋体" w:hAnsi="宋体"/>
        <w:sz w:val="28"/>
        <w:szCs w:val="28"/>
      </w:rPr>
      <w:fldChar w:fldCharType="end"/>
    </w:r>
    <w:r>
      <w:rPr>
        <w:rStyle w:val="16"/>
        <w:rFonts w:hint="eastAsia" w:ascii="宋体" w:hAnsi="宋体"/>
        <w:sz w:val="28"/>
        <w:szCs w:val="28"/>
      </w:rPr>
      <w:t xml:space="preserve"> －</w:t>
    </w:r>
  </w:p>
  <w:p>
    <w:pPr>
      <w:pStyle w:val="7"/>
      <w:ind w:right="360" w:firstLine="360"/>
      <w:rPr>
        <w:rFonts w:ascii="宋体" w:hAnsi="宋体"/>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ascii="宋体" w:hAnsi="宋体" w:eastAsia="宋体"/>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ZjgyZmFiODg5YzY4N2ZhOTA3YWVhYzZjN2UxMGEifQ=="/>
  </w:docVars>
  <w:rsids>
    <w:rsidRoot w:val="00D12EB9"/>
    <w:rsid w:val="007C2754"/>
    <w:rsid w:val="008232A2"/>
    <w:rsid w:val="00BE39DE"/>
    <w:rsid w:val="00D12EB9"/>
    <w:rsid w:val="01FF51E1"/>
    <w:rsid w:val="027C16B8"/>
    <w:rsid w:val="02D72661"/>
    <w:rsid w:val="03231B33"/>
    <w:rsid w:val="059E2D61"/>
    <w:rsid w:val="0702412D"/>
    <w:rsid w:val="070E5B8E"/>
    <w:rsid w:val="07465F1D"/>
    <w:rsid w:val="07A13A99"/>
    <w:rsid w:val="098D7D07"/>
    <w:rsid w:val="09914CCC"/>
    <w:rsid w:val="09D37D46"/>
    <w:rsid w:val="0A416590"/>
    <w:rsid w:val="0AE43B71"/>
    <w:rsid w:val="0C191D25"/>
    <w:rsid w:val="0CA51BF8"/>
    <w:rsid w:val="0D0F6543"/>
    <w:rsid w:val="0E0119CA"/>
    <w:rsid w:val="0E3B799D"/>
    <w:rsid w:val="0E8D58EF"/>
    <w:rsid w:val="0F1A64E0"/>
    <w:rsid w:val="10BD324F"/>
    <w:rsid w:val="10DC4F92"/>
    <w:rsid w:val="11512091"/>
    <w:rsid w:val="120A6163"/>
    <w:rsid w:val="126679E3"/>
    <w:rsid w:val="12C17203"/>
    <w:rsid w:val="139D30C7"/>
    <w:rsid w:val="142E7791"/>
    <w:rsid w:val="1430235A"/>
    <w:rsid w:val="143C4EDC"/>
    <w:rsid w:val="149C7B8C"/>
    <w:rsid w:val="14ED0209"/>
    <w:rsid w:val="1538070B"/>
    <w:rsid w:val="15AD71D1"/>
    <w:rsid w:val="16337DFA"/>
    <w:rsid w:val="19362169"/>
    <w:rsid w:val="1A741C95"/>
    <w:rsid w:val="1BF974E3"/>
    <w:rsid w:val="1C2D4C7B"/>
    <w:rsid w:val="1C3425A1"/>
    <w:rsid w:val="1DFE71E1"/>
    <w:rsid w:val="1E8D16A5"/>
    <w:rsid w:val="1F223576"/>
    <w:rsid w:val="20555F76"/>
    <w:rsid w:val="22A61CC2"/>
    <w:rsid w:val="23825FAA"/>
    <w:rsid w:val="23B24AE2"/>
    <w:rsid w:val="23F31321"/>
    <w:rsid w:val="251406E0"/>
    <w:rsid w:val="251E499C"/>
    <w:rsid w:val="26775B6F"/>
    <w:rsid w:val="26D23C06"/>
    <w:rsid w:val="275A34C6"/>
    <w:rsid w:val="27FF7BCA"/>
    <w:rsid w:val="28CE464D"/>
    <w:rsid w:val="2A3B1D0C"/>
    <w:rsid w:val="2A500721"/>
    <w:rsid w:val="2A5F42E4"/>
    <w:rsid w:val="2A9E642D"/>
    <w:rsid w:val="2AAE7B1B"/>
    <w:rsid w:val="2AC64341"/>
    <w:rsid w:val="2AF74AFA"/>
    <w:rsid w:val="2C490FEF"/>
    <w:rsid w:val="2C77727F"/>
    <w:rsid w:val="2DF316F7"/>
    <w:rsid w:val="2E9A328C"/>
    <w:rsid w:val="304557D8"/>
    <w:rsid w:val="30640A4A"/>
    <w:rsid w:val="310B6782"/>
    <w:rsid w:val="3111559E"/>
    <w:rsid w:val="31FB296F"/>
    <w:rsid w:val="33EE3601"/>
    <w:rsid w:val="372847D4"/>
    <w:rsid w:val="385A2AE8"/>
    <w:rsid w:val="39C809FB"/>
    <w:rsid w:val="3A3E7D5B"/>
    <w:rsid w:val="3ABE0FD9"/>
    <w:rsid w:val="3B7D63DA"/>
    <w:rsid w:val="3B944BC0"/>
    <w:rsid w:val="3EF1169A"/>
    <w:rsid w:val="414C39F0"/>
    <w:rsid w:val="41D028AB"/>
    <w:rsid w:val="439A472A"/>
    <w:rsid w:val="43A571CF"/>
    <w:rsid w:val="441C7FD3"/>
    <w:rsid w:val="45C565EC"/>
    <w:rsid w:val="47C67CFB"/>
    <w:rsid w:val="47E62066"/>
    <w:rsid w:val="482D453C"/>
    <w:rsid w:val="4A192850"/>
    <w:rsid w:val="4A632DA1"/>
    <w:rsid w:val="4AEA342D"/>
    <w:rsid w:val="4B645C7A"/>
    <w:rsid w:val="4CBE712F"/>
    <w:rsid w:val="4CF82CB6"/>
    <w:rsid w:val="4D2C4661"/>
    <w:rsid w:val="4DE81745"/>
    <w:rsid w:val="4EC40AAC"/>
    <w:rsid w:val="4F353A65"/>
    <w:rsid w:val="50161CC6"/>
    <w:rsid w:val="503F55AC"/>
    <w:rsid w:val="50B2385B"/>
    <w:rsid w:val="513044BE"/>
    <w:rsid w:val="518C1080"/>
    <w:rsid w:val="524730B2"/>
    <w:rsid w:val="52FB4B21"/>
    <w:rsid w:val="53E14715"/>
    <w:rsid w:val="546365A3"/>
    <w:rsid w:val="55766852"/>
    <w:rsid w:val="559F50D6"/>
    <w:rsid w:val="58B27504"/>
    <w:rsid w:val="58CE6FC1"/>
    <w:rsid w:val="59B60656"/>
    <w:rsid w:val="5A91404C"/>
    <w:rsid w:val="5C501E2D"/>
    <w:rsid w:val="5D432800"/>
    <w:rsid w:val="5D4D621E"/>
    <w:rsid w:val="5E2D5235"/>
    <w:rsid w:val="5E8B68CF"/>
    <w:rsid w:val="61AD053C"/>
    <w:rsid w:val="63543822"/>
    <w:rsid w:val="637D4B55"/>
    <w:rsid w:val="63E643B8"/>
    <w:rsid w:val="640E4E7E"/>
    <w:rsid w:val="65586CD4"/>
    <w:rsid w:val="65FD37CF"/>
    <w:rsid w:val="66723E06"/>
    <w:rsid w:val="66B17ADD"/>
    <w:rsid w:val="672F227A"/>
    <w:rsid w:val="678720E2"/>
    <w:rsid w:val="680F6BB7"/>
    <w:rsid w:val="68703912"/>
    <w:rsid w:val="6919500A"/>
    <w:rsid w:val="6A0532A1"/>
    <w:rsid w:val="6B33079D"/>
    <w:rsid w:val="6C6966AA"/>
    <w:rsid w:val="6C992961"/>
    <w:rsid w:val="6D084F7C"/>
    <w:rsid w:val="6D441C7B"/>
    <w:rsid w:val="6D8D693E"/>
    <w:rsid w:val="6F92331A"/>
    <w:rsid w:val="70A37393"/>
    <w:rsid w:val="70A64401"/>
    <w:rsid w:val="711E7A05"/>
    <w:rsid w:val="72372D87"/>
    <w:rsid w:val="727A6A13"/>
    <w:rsid w:val="72D72911"/>
    <w:rsid w:val="73104330"/>
    <w:rsid w:val="73CD6508"/>
    <w:rsid w:val="750F3DE0"/>
    <w:rsid w:val="75FD4DF0"/>
    <w:rsid w:val="76A06818"/>
    <w:rsid w:val="77316C5C"/>
    <w:rsid w:val="773C186D"/>
    <w:rsid w:val="777A449D"/>
    <w:rsid w:val="778F3545"/>
    <w:rsid w:val="77F83326"/>
    <w:rsid w:val="78032B60"/>
    <w:rsid w:val="78542BE7"/>
    <w:rsid w:val="78957EF8"/>
    <w:rsid w:val="79705CA0"/>
    <w:rsid w:val="79863E66"/>
    <w:rsid w:val="7A6823CB"/>
    <w:rsid w:val="7A701748"/>
    <w:rsid w:val="7A9B392D"/>
    <w:rsid w:val="7C3866D8"/>
    <w:rsid w:val="7C724BD9"/>
    <w:rsid w:val="7D7C4771"/>
    <w:rsid w:val="7E0F492A"/>
    <w:rsid w:val="7E181679"/>
    <w:rsid w:val="7E7E09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textAlignment w:val="baseline"/>
    </w:pPr>
    <w:rPr>
      <w:rFonts w:ascii="Calibri" w:hAnsi="Calibri" w:eastAsia="等线" w:cs="Times New Roman"/>
      <w:kern w:val="2"/>
      <w:sz w:val="21"/>
      <w:szCs w:val="24"/>
      <w:lang w:val="en-US" w:eastAsia="zh-CN" w:bidi="ar-SA"/>
    </w:rPr>
  </w:style>
  <w:style w:type="paragraph" w:styleId="2">
    <w:name w:val="heading 1"/>
    <w:basedOn w:val="1"/>
    <w:next w:val="1"/>
    <w:autoRedefine/>
    <w:qFormat/>
    <w:uiPriority w:val="0"/>
    <w:pPr>
      <w:spacing w:beforeAutospacing="0" w:afterAutospacing="0" w:line="560" w:lineRule="exact"/>
      <w:jc w:val="center"/>
      <w:outlineLvl w:val="0"/>
    </w:pPr>
    <w:rPr>
      <w:rFonts w:hint="eastAsia" w:ascii="宋体" w:hAnsi="宋体" w:eastAsia="宋体" w:cs="Times New Roman"/>
      <w:b/>
      <w:kern w:val="44"/>
      <w:sz w:val="44"/>
      <w:szCs w:val="48"/>
    </w:rPr>
  </w:style>
  <w:style w:type="paragraph" w:styleId="3">
    <w:name w:val="heading 2"/>
    <w:basedOn w:val="1"/>
    <w:next w:val="1"/>
    <w:autoRedefine/>
    <w:unhideWhenUsed/>
    <w:qFormat/>
    <w:uiPriority w:val="9"/>
    <w:pPr>
      <w:keepNext/>
      <w:keepLines/>
      <w:numPr>
        <w:ilvl w:val="1"/>
        <w:numId w:val="1"/>
      </w:numPr>
      <w:spacing w:before="260" w:after="260" w:line="416" w:lineRule="atLeast"/>
      <w:outlineLvl w:val="1"/>
    </w:pPr>
    <w:rPr>
      <w:rFonts w:ascii="Arial" w:hAnsi="Arial" w:eastAsia="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qFormat/>
    <w:uiPriority w:val="0"/>
    <w:pPr>
      <w:ind w:firstLine="480" w:firstLineChars="200"/>
    </w:pPr>
    <w:rPr>
      <w:sz w:val="24"/>
    </w:rPr>
  </w:style>
  <w:style w:type="paragraph" w:styleId="5">
    <w:name w:val="Plain Text"/>
    <w:basedOn w:val="1"/>
    <w:next w:val="1"/>
    <w:autoRedefine/>
    <w:qFormat/>
    <w:uiPriority w:val="99"/>
    <w:rPr>
      <w:rFonts w:ascii="宋体" w:hAnsi="Courier New" w:cs="Courier New"/>
      <w:szCs w:val="21"/>
    </w:rPr>
  </w:style>
  <w:style w:type="paragraph" w:styleId="6">
    <w:name w:val="Body Text Indent 2"/>
    <w:basedOn w:val="1"/>
    <w:autoRedefine/>
    <w:qFormat/>
    <w:uiPriority w:val="0"/>
    <w:pPr>
      <w:tabs>
        <w:tab w:val="left" w:pos="2250"/>
      </w:tabs>
      <w:spacing w:before="100" w:beforeAutospacing="1" w:line="400" w:lineRule="exact"/>
      <w:ind w:firstLine="629"/>
    </w:pPr>
    <w:rPr>
      <w:sz w:val="32"/>
    </w:rPr>
  </w:style>
  <w:style w:type="paragraph" w:styleId="7">
    <w:name w:val="footer"/>
    <w:basedOn w:val="1"/>
    <w:autoRedefine/>
    <w:qFormat/>
    <w:uiPriority w:val="0"/>
    <w:pPr>
      <w:tabs>
        <w:tab w:val="center" w:pos="4153"/>
        <w:tab w:val="right" w:pos="8306"/>
      </w:tabs>
      <w:snapToGrid w:val="0"/>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9">
    <w:name w:val="Normal (Web)"/>
    <w:basedOn w:val="1"/>
    <w:autoRedefine/>
    <w:unhideWhenUsed/>
    <w:qFormat/>
    <w:uiPriority w:val="99"/>
    <w:pPr>
      <w:spacing w:before="100" w:beforeAutospacing="1" w:after="100" w:afterAutospacing="1"/>
    </w:pPr>
    <w:rPr>
      <w:kern w:val="0"/>
      <w:sz w:val="24"/>
    </w:rPr>
  </w:style>
  <w:style w:type="paragraph" w:styleId="10">
    <w:name w:val="index 1"/>
    <w:basedOn w:val="1"/>
    <w:next w:val="1"/>
    <w:autoRedefine/>
    <w:qFormat/>
    <w:uiPriority w:val="99"/>
  </w:style>
  <w:style w:type="paragraph" w:styleId="11">
    <w:name w:val="Body Text First Indent 2"/>
    <w:basedOn w:val="4"/>
    <w:autoRedefine/>
    <w:qFormat/>
    <w:uiPriority w:val="0"/>
    <w:pPr>
      <w:ind w:firstLine="42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0"/>
    <w:rPr>
      <w:b/>
    </w:rPr>
  </w:style>
  <w:style w:type="character" w:styleId="16">
    <w:name w:val="page number"/>
    <w:basedOn w:val="14"/>
    <w:autoRedefine/>
    <w:qFormat/>
    <w:uiPriority w:val="0"/>
  </w:style>
  <w:style w:type="character" w:styleId="17">
    <w:name w:val="Hyperlink"/>
    <w:basedOn w:val="14"/>
    <w:autoRedefine/>
    <w:unhideWhenUsed/>
    <w:qFormat/>
    <w:uiPriority w:val="99"/>
    <w:rPr>
      <w:color w:val="0563C1"/>
      <w:u w:val="single"/>
    </w:rPr>
  </w:style>
  <w:style w:type="paragraph" w:customStyle="1" w:styleId="18">
    <w:name w:val="UserStyle_1"/>
    <w:basedOn w:val="1"/>
    <w:link w:val="21"/>
    <w:autoRedefine/>
    <w:qFormat/>
    <w:uiPriority w:val="0"/>
    <w:rPr>
      <w:rFonts w:ascii="Times New Roman" w:hAnsi="Times New Roman" w:eastAsia="宋体"/>
      <w:kern w:val="0"/>
      <w:sz w:val="20"/>
      <w:szCs w:val="20"/>
    </w:rPr>
  </w:style>
  <w:style w:type="paragraph" w:customStyle="1" w:styleId="19">
    <w:name w:val="UserStyle_3"/>
    <w:basedOn w:val="1"/>
    <w:link w:val="22"/>
    <w:autoRedefine/>
    <w:qFormat/>
    <w:uiPriority w:val="0"/>
    <w:rPr>
      <w:rFonts w:ascii="Times New Roman" w:hAnsi="Times New Roman" w:eastAsia="宋体"/>
      <w:kern w:val="0"/>
      <w:sz w:val="20"/>
      <w:szCs w:val="20"/>
    </w:rPr>
  </w:style>
  <w:style w:type="paragraph" w:customStyle="1" w:styleId="20">
    <w:name w:val="Default"/>
    <w:autoRedefine/>
    <w:qFormat/>
    <w:uiPriority w:val="0"/>
    <w:pPr>
      <w:widowControl w:val="0"/>
      <w:autoSpaceDE w:val="0"/>
      <w:autoSpaceDN w:val="0"/>
      <w:adjustRightInd w:val="0"/>
    </w:pPr>
    <w:rPr>
      <w:rFonts w:ascii="仿宋_GB2312" w:hAnsi="等线" w:eastAsia="仿宋_GB2312" w:cs="仿宋_GB2312"/>
      <w:color w:val="000000"/>
      <w:sz w:val="24"/>
      <w:szCs w:val="24"/>
      <w:lang w:val="en-US" w:eastAsia="zh-CN" w:bidi="ar-SA"/>
    </w:rPr>
  </w:style>
  <w:style w:type="character" w:customStyle="1" w:styleId="21">
    <w:name w:val="UserStyle_0"/>
    <w:link w:val="18"/>
    <w:autoRedefine/>
    <w:qFormat/>
    <w:uiPriority w:val="0"/>
    <w:rPr>
      <w:rFonts w:ascii="Times New Roman" w:hAnsi="Times New Roman" w:eastAsia="宋体"/>
      <w:kern w:val="0"/>
      <w:sz w:val="20"/>
      <w:szCs w:val="20"/>
    </w:rPr>
  </w:style>
  <w:style w:type="character" w:customStyle="1" w:styleId="22">
    <w:name w:val="UserStyle_2"/>
    <w:link w:val="19"/>
    <w:autoRedefine/>
    <w:qFormat/>
    <w:uiPriority w:val="0"/>
    <w:rPr>
      <w:rFonts w:ascii="Times New Roman" w:hAnsi="Times New Roman" w:eastAsia="宋体"/>
      <w:kern w:val="0"/>
      <w:sz w:val="20"/>
      <w:szCs w:val="20"/>
    </w:rPr>
  </w:style>
  <w:style w:type="character" w:customStyle="1" w:styleId="23">
    <w:name w:val="UserStyle_4"/>
    <w:qFormat/>
    <w:uiPriority w:val="0"/>
    <w:rPr>
      <w:rFonts w:ascii="Calibri" w:hAnsi="Calibri" w:eastAsia="宋体"/>
    </w:rPr>
  </w:style>
  <w:style w:type="character" w:customStyle="1" w:styleId="24">
    <w:name w:val="NormalCharacter"/>
    <w:autoRedefine/>
    <w:qFormat/>
    <w:uiPriority w:val="0"/>
  </w:style>
  <w:style w:type="character" w:customStyle="1" w:styleId="25">
    <w:name w:val="font41"/>
    <w:basedOn w:val="14"/>
    <w:autoRedefine/>
    <w:qFormat/>
    <w:uiPriority w:val="0"/>
    <w:rPr>
      <w:rFonts w:hint="eastAsia" w:ascii="仿宋" w:hAnsi="仿宋" w:eastAsia="仿宋" w:cs="仿宋"/>
      <w:color w:val="000000"/>
      <w:sz w:val="24"/>
      <w:szCs w:val="24"/>
      <w:u w:val="none"/>
    </w:rPr>
  </w:style>
  <w:style w:type="character" w:customStyle="1" w:styleId="26">
    <w:name w:val="font31"/>
    <w:basedOn w:val="14"/>
    <w:autoRedefine/>
    <w:qFormat/>
    <w:uiPriority w:val="0"/>
    <w:rPr>
      <w:rFonts w:hint="eastAsia" w:ascii="仿宋" w:hAnsi="仿宋" w:eastAsia="仿宋" w:cs="仿宋"/>
      <w:color w:val="000000"/>
      <w:sz w:val="24"/>
      <w:szCs w:val="24"/>
      <w:u w:val="none"/>
    </w:rPr>
  </w:style>
  <w:style w:type="character" w:customStyle="1" w:styleId="27">
    <w:name w:val="font21"/>
    <w:basedOn w:val="14"/>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198</Words>
  <Characters>1135</Characters>
  <Lines>9</Lines>
  <Paragraphs>2</Paragraphs>
  <TotalTime>7</TotalTime>
  <ScaleCrop>false</ScaleCrop>
  <LinksUpToDate>false</LinksUpToDate>
  <CharactersWithSpaces>1331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2022-01-10T23:51:00Z</dcterms:created>
  <dc:creator>hp</dc:creator>
  <cp:lastModifiedBy>凌</cp:lastModifiedBy>
  <dcterms:modified xsi:type="dcterms:W3CDTF">2024-02-19T01:07:36Z</dcterms:modified>
  <dc:title>附件2        2022年国际护士节宣传项目评分标准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17DA500157794789BABCE71E2837EE46_13</vt:lpwstr>
  </property>
</Properties>
</file>